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15504" w14:textId="5CDE8961" w:rsidR="00394B82" w:rsidRPr="00716735" w:rsidRDefault="001503F9" w:rsidP="00E80725">
      <w:pPr>
        <w:jc w:val="both"/>
        <w:rPr>
          <w:rFonts w:ascii="Source Sans Pro" w:hAnsi="Source Sans Pro" w:cs="Tahoma"/>
          <w:b/>
          <w:color w:val="13284B"/>
          <w:sz w:val="22"/>
          <w:szCs w:val="22"/>
          <w:u w:val="single"/>
          <w14:textOutline w14:w="9525" w14:cap="rnd" w14:cmpd="sng" w14:algn="ctr">
            <w14:solidFill>
              <w14:schemeClr w14:val="accent1"/>
            </w14:solidFill>
            <w14:prstDash w14:val="solid"/>
            <w14:bevel/>
          </w14:textOutline>
        </w:rPr>
      </w:pPr>
      <w:r w:rsidRPr="00716735">
        <w:rPr>
          <w:rFonts w:ascii="Source Sans Pro" w:hAnsi="Source Sans Pro" w:cs="Tahoma"/>
          <w:noProof/>
          <w:sz w:val="22"/>
          <w:szCs w:val="22"/>
          <w14:textOutline w14:w="9525" w14:cap="rnd" w14:cmpd="sng" w14:algn="ctr">
            <w14:solidFill>
              <w14:schemeClr w14:val="accent1"/>
            </w14:solidFill>
            <w14:prstDash w14:val="solid"/>
            <w14:bevel/>
          </w14:textOutline>
        </w:rPr>
        <mc:AlternateContent>
          <mc:Choice Requires="wps">
            <w:drawing>
              <wp:anchor distT="45720" distB="45720" distL="114300" distR="114300" simplePos="0" relativeHeight="251658240" behindDoc="0" locked="0" layoutInCell="1" allowOverlap="1" wp14:anchorId="464B812B" wp14:editId="144339E2">
                <wp:simplePos x="0" y="0"/>
                <wp:positionH relativeFrom="column">
                  <wp:posOffset>3376930</wp:posOffset>
                </wp:positionH>
                <wp:positionV relativeFrom="paragraph">
                  <wp:posOffset>1905</wp:posOffset>
                </wp:positionV>
                <wp:extent cx="3086100" cy="7315200"/>
                <wp:effectExtent l="0" t="0" r="19050" b="1905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315200"/>
                        </a:xfrm>
                        <a:prstGeom prst="rect">
                          <a:avLst/>
                        </a:prstGeom>
                        <a:solidFill>
                          <a:srgbClr val="E7AD22"/>
                        </a:solidFill>
                        <a:ln w="9525">
                          <a:solidFill>
                            <a:srgbClr val="000000"/>
                          </a:solidFill>
                          <a:miter lim="800000"/>
                          <a:headEnd/>
                          <a:tailEnd/>
                        </a:ln>
                      </wps:spPr>
                      <wps:txbx>
                        <w:txbxContent>
                          <w:p w14:paraId="12A26390" w14:textId="77777777" w:rsidR="00886E02" w:rsidRPr="004D51AF" w:rsidRDefault="00886E02" w:rsidP="00886E02">
                            <w:pPr>
                              <w:ind w:left="180" w:right="315" w:firstLine="360"/>
                              <w:jc w:val="center"/>
                              <w:rPr>
                                <w:rFonts w:ascii="Tahoma" w:eastAsiaTheme="majorEastAsia" w:hAnsi="Tahoma" w:cs="Tahoma"/>
                                <w:b/>
                                <w:caps/>
                                <w:color w:val="F99F1B"/>
                                <w:sz w:val="22"/>
                                <w:szCs w:val="22"/>
                              </w:rPr>
                            </w:pPr>
                          </w:p>
                          <w:p w14:paraId="7AD25676" w14:textId="77777777" w:rsidR="00886E02" w:rsidRPr="00FF726F" w:rsidRDefault="00621FF4" w:rsidP="00886E02">
                            <w:pPr>
                              <w:ind w:left="180" w:right="315"/>
                              <w:jc w:val="center"/>
                              <w:rPr>
                                <w:rFonts w:ascii="AvenirNext LT Pro Regular" w:eastAsiaTheme="majorEastAsia" w:hAnsi="AvenirNext LT Pro Regular" w:cs="Tahoma"/>
                                <w:bCs/>
                                <w:caps/>
                                <w:color w:val="3B3B3B"/>
                                <w:sz w:val="32"/>
                                <w:szCs w:val="32"/>
                              </w:rPr>
                            </w:pPr>
                            <w:r w:rsidRPr="00FF726F">
                              <w:rPr>
                                <w:rFonts w:ascii="AvenirNext LT Pro Regular" w:eastAsiaTheme="majorEastAsia" w:hAnsi="AvenirNext LT Pro Regular" w:cs="Tahoma"/>
                                <w:bCs/>
                                <w:caps/>
                                <w:color w:val="3B3B3B"/>
                                <w:sz w:val="32"/>
                                <w:szCs w:val="32"/>
                              </w:rPr>
                              <w:t xml:space="preserve">Keeping a </w:t>
                            </w:r>
                          </w:p>
                          <w:p w14:paraId="724BF42F" w14:textId="77777777" w:rsidR="00621FF4" w:rsidRPr="00FF726F" w:rsidRDefault="00621FF4" w:rsidP="00886E02">
                            <w:pPr>
                              <w:ind w:left="180" w:right="315"/>
                              <w:jc w:val="center"/>
                              <w:rPr>
                                <w:rFonts w:ascii="AvenirNext LT Pro Regular" w:eastAsiaTheme="majorEastAsia" w:hAnsi="AvenirNext LT Pro Regular" w:cs="Tahoma"/>
                                <w:bCs/>
                                <w:caps/>
                                <w:color w:val="3B3B3B"/>
                                <w:sz w:val="32"/>
                                <w:szCs w:val="32"/>
                              </w:rPr>
                            </w:pPr>
                            <w:r w:rsidRPr="00FF726F">
                              <w:rPr>
                                <w:rFonts w:ascii="AvenirNext LT Pro Regular" w:eastAsiaTheme="majorEastAsia" w:hAnsi="AvenirNext LT Pro Regular" w:cs="Tahoma"/>
                                <w:bCs/>
                                <w:caps/>
                                <w:color w:val="3B3B3B"/>
                                <w:sz w:val="32"/>
                                <w:szCs w:val="32"/>
                              </w:rPr>
                              <w:t>balanced approach</w:t>
                            </w:r>
                          </w:p>
                          <w:p w14:paraId="66E3B113" w14:textId="77777777" w:rsidR="00621FF4" w:rsidRPr="00FE3001" w:rsidRDefault="00886E02" w:rsidP="00886E02">
                            <w:pPr>
                              <w:ind w:left="180" w:right="315" w:firstLine="360"/>
                              <w:jc w:val="center"/>
                              <w:rPr>
                                <w:rFonts w:ascii="Tahoma" w:eastAsiaTheme="majorEastAsia" w:hAnsi="Tahoma" w:cs="Tahoma"/>
                                <w:b/>
                                <w:caps/>
                                <w:color w:val="3B3B3B"/>
                                <w:sz w:val="22"/>
                                <w:szCs w:val="22"/>
                              </w:rPr>
                            </w:pPr>
                            <w:r w:rsidRPr="00FE3001">
                              <w:rPr>
                                <w:rFonts w:ascii="Tahoma" w:eastAsiaTheme="majorEastAsia" w:hAnsi="Tahoma" w:cs="Tahoma"/>
                                <w:b/>
                                <w:caps/>
                                <w:color w:val="3B3B3B"/>
                                <w:sz w:val="22"/>
                                <w:szCs w:val="22"/>
                              </w:rPr>
                              <w:t>__________________</w:t>
                            </w:r>
                          </w:p>
                          <w:p w14:paraId="480D0570" w14:textId="77777777" w:rsidR="00886E02" w:rsidRPr="004D51AF" w:rsidRDefault="00886E02" w:rsidP="00886E02">
                            <w:pPr>
                              <w:ind w:left="540" w:right="315"/>
                              <w:jc w:val="center"/>
                              <w:rPr>
                                <w:rFonts w:ascii="Tahoma" w:eastAsiaTheme="majorEastAsia" w:hAnsi="Tahoma" w:cs="Tahoma"/>
                                <w:b/>
                                <w:caps/>
                                <w:color w:val="F99F1B"/>
                                <w:sz w:val="22"/>
                                <w:szCs w:val="22"/>
                              </w:rPr>
                            </w:pPr>
                          </w:p>
                          <w:p w14:paraId="369663DE" w14:textId="77777777" w:rsidR="00886E02" w:rsidRPr="00BF352D" w:rsidRDefault="00886E02" w:rsidP="009C27C1">
                            <w:pPr>
                              <w:ind w:left="540" w:right="315"/>
                              <w:rPr>
                                <w:rFonts w:ascii="AvenirNext LT Pro Regular" w:hAnsi="AvenirNext LT Pro Regular" w:cs="Tahoma"/>
                                <w:b/>
                                <w:color w:val="3B3B3B"/>
                                <w:sz w:val="22"/>
                                <w:szCs w:val="22"/>
                              </w:rPr>
                            </w:pPr>
                            <w:r w:rsidRPr="00BF352D">
                              <w:rPr>
                                <w:rFonts w:ascii="AvenirNext LT Pro Regular" w:hAnsi="AvenirNext LT Pro Regular" w:cs="Tahoma"/>
                                <w:b/>
                                <w:color w:val="3B3B3B"/>
                                <w:sz w:val="22"/>
                                <w:szCs w:val="22"/>
                              </w:rPr>
                              <w:t>Summary:</w:t>
                            </w:r>
                          </w:p>
                          <w:p w14:paraId="4050D02D" w14:textId="146FE89B" w:rsidR="009712C3" w:rsidRDefault="004B0C78" w:rsidP="00BC7C42">
                            <w:pPr>
                              <w:pStyle w:val="ListParagraph"/>
                              <w:numPr>
                                <w:ilvl w:val="0"/>
                                <w:numId w:val="6"/>
                              </w:numPr>
                              <w:spacing w:line="0" w:lineRule="atLeast"/>
                              <w:ind w:right="317"/>
                              <w:rPr>
                                <w:rFonts w:ascii="AvenirNext LT Pro Regular" w:hAnsi="AvenirNext LT Pro Regular" w:cs="Tahoma"/>
                                <w:b/>
                                <w:color w:val="3B3B3B"/>
                                <w:sz w:val="22"/>
                                <w:szCs w:val="22"/>
                              </w:rPr>
                            </w:pPr>
                            <w:r>
                              <w:rPr>
                                <w:rFonts w:ascii="AvenirNext LT Pro Regular" w:hAnsi="AvenirNext LT Pro Regular" w:cs="Tahoma"/>
                                <w:b/>
                                <w:color w:val="3B3B3B"/>
                                <w:sz w:val="22"/>
                                <w:szCs w:val="22"/>
                              </w:rPr>
                              <w:t>All s</w:t>
                            </w:r>
                            <w:r w:rsidR="00D85185">
                              <w:rPr>
                                <w:rFonts w:ascii="AvenirNext LT Pro Regular" w:hAnsi="AvenirNext LT Pro Regular" w:cs="Tahoma"/>
                                <w:b/>
                                <w:color w:val="3B3B3B"/>
                                <w:sz w:val="22"/>
                                <w:szCs w:val="22"/>
                              </w:rPr>
                              <w:t xml:space="preserve">tock and bond </w:t>
                            </w:r>
                            <w:r>
                              <w:rPr>
                                <w:rFonts w:ascii="AvenirNext LT Pro Regular" w:hAnsi="AvenirNext LT Pro Regular" w:cs="Tahoma"/>
                                <w:b/>
                                <w:color w:val="3B3B3B"/>
                                <w:sz w:val="22"/>
                                <w:szCs w:val="22"/>
                              </w:rPr>
                              <w:t xml:space="preserve">indexes shown were positive for Q4 and </w:t>
                            </w:r>
                            <w:r w:rsidR="00AF15C5">
                              <w:rPr>
                                <w:rFonts w:ascii="AvenirNext LT Pro Regular" w:hAnsi="AvenirNext LT Pro Regular" w:cs="Tahoma"/>
                                <w:b/>
                                <w:color w:val="3B3B3B"/>
                                <w:sz w:val="22"/>
                                <w:szCs w:val="22"/>
                              </w:rPr>
                              <w:t xml:space="preserve">for the year.  </w:t>
                            </w:r>
                            <w:r w:rsidR="00FC1334">
                              <w:rPr>
                                <w:rFonts w:ascii="AvenirNext LT Pro Regular" w:hAnsi="AvenirNext LT Pro Regular" w:cs="Tahoma"/>
                                <w:b/>
                                <w:color w:val="3B3B3B"/>
                                <w:sz w:val="22"/>
                                <w:szCs w:val="22"/>
                              </w:rPr>
                              <w:t xml:space="preserve">A global </w:t>
                            </w:r>
                            <w:r w:rsidR="00DA2A96">
                              <w:rPr>
                                <w:rFonts w:ascii="AvenirNext LT Pro Regular" w:hAnsi="AvenirNext LT Pro Regular" w:cs="Tahoma"/>
                                <w:b/>
                                <w:color w:val="3B3B3B"/>
                                <w:sz w:val="22"/>
                                <w:szCs w:val="22"/>
                              </w:rPr>
                              <w:t>portfolio of 60% stocks/40% bonds rose by 16.1% during 2023.</w:t>
                            </w:r>
                          </w:p>
                          <w:p w14:paraId="5745143D" w14:textId="74899700" w:rsidR="00FB5EDC" w:rsidRDefault="00725D40" w:rsidP="002D364D">
                            <w:pPr>
                              <w:pStyle w:val="ListParagraph"/>
                              <w:numPr>
                                <w:ilvl w:val="0"/>
                                <w:numId w:val="6"/>
                              </w:numPr>
                              <w:spacing w:line="0" w:lineRule="atLeast"/>
                              <w:ind w:right="317"/>
                              <w:rPr>
                                <w:rFonts w:ascii="AvenirNext LT Pro Regular" w:hAnsi="AvenirNext LT Pro Regular" w:cs="Tahoma"/>
                                <w:b/>
                                <w:color w:val="3B3B3B"/>
                                <w:sz w:val="22"/>
                                <w:szCs w:val="22"/>
                              </w:rPr>
                            </w:pPr>
                            <w:r>
                              <w:rPr>
                                <w:rFonts w:ascii="AvenirNext LT Pro Regular" w:hAnsi="AvenirNext LT Pro Regular" w:cs="Tahoma"/>
                                <w:b/>
                                <w:color w:val="3B3B3B"/>
                                <w:sz w:val="22"/>
                                <w:szCs w:val="22"/>
                              </w:rPr>
                              <w:t>Not surprisingly,</w:t>
                            </w:r>
                            <w:r w:rsidR="00C61D48">
                              <w:rPr>
                                <w:rFonts w:ascii="AvenirNext LT Pro Regular" w:hAnsi="AvenirNext LT Pro Regular" w:cs="Tahoma"/>
                                <w:b/>
                                <w:color w:val="3B3B3B"/>
                                <w:sz w:val="22"/>
                                <w:szCs w:val="22"/>
                              </w:rPr>
                              <w:t xml:space="preserve"> many strategists were</w:t>
                            </w:r>
                            <w:r>
                              <w:rPr>
                                <w:rFonts w:ascii="AvenirNext LT Pro Regular" w:hAnsi="AvenirNext LT Pro Regular" w:cs="Tahoma"/>
                                <w:b/>
                                <w:color w:val="3B3B3B"/>
                                <w:sz w:val="22"/>
                                <w:szCs w:val="22"/>
                              </w:rPr>
                              <w:t xml:space="preserve"> wrong in their predictions for how the S&amp;P 500 would so, as well as </w:t>
                            </w:r>
                            <w:r w:rsidR="004A07B5">
                              <w:rPr>
                                <w:rFonts w:ascii="AvenirNext LT Pro Regular" w:hAnsi="AvenirNext LT Pro Regular" w:cs="Tahoma"/>
                                <w:b/>
                                <w:color w:val="3B3B3B"/>
                                <w:sz w:val="22"/>
                                <w:szCs w:val="22"/>
                              </w:rPr>
                              <w:t>in</w:t>
                            </w:r>
                            <w:r>
                              <w:rPr>
                                <w:rFonts w:ascii="AvenirNext LT Pro Regular" w:hAnsi="AvenirNext LT Pro Regular" w:cs="Tahoma"/>
                                <w:b/>
                                <w:color w:val="3B3B3B"/>
                                <w:sz w:val="22"/>
                                <w:szCs w:val="22"/>
                              </w:rPr>
                              <w:t xml:space="preserve"> their predicting t</w:t>
                            </w:r>
                            <w:r w:rsidR="00FB5EDC">
                              <w:rPr>
                                <w:rFonts w:ascii="AvenirNext LT Pro Regular" w:hAnsi="AvenirNext LT Pro Regular" w:cs="Tahoma"/>
                                <w:b/>
                                <w:color w:val="3B3B3B"/>
                                <w:sz w:val="22"/>
                                <w:szCs w:val="22"/>
                              </w:rPr>
                              <w:t xml:space="preserve">he US economy </w:t>
                            </w:r>
                            <w:r>
                              <w:rPr>
                                <w:rFonts w:ascii="AvenirNext LT Pro Regular" w:hAnsi="AvenirNext LT Pro Regular" w:cs="Tahoma"/>
                                <w:b/>
                                <w:color w:val="3B3B3B"/>
                                <w:sz w:val="22"/>
                                <w:szCs w:val="22"/>
                              </w:rPr>
                              <w:t xml:space="preserve">would have a </w:t>
                            </w:r>
                            <w:r w:rsidR="00FB5EDC">
                              <w:rPr>
                                <w:rFonts w:ascii="AvenirNext LT Pro Regular" w:hAnsi="AvenirNext LT Pro Regular" w:cs="Tahoma"/>
                                <w:b/>
                                <w:color w:val="3B3B3B"/>
                                <w:sz w:val="22"/>
                                <w:szCs w:val="22"/>
                              </w:rPr>
                              <w:t>recession in 2023.</w:t>
                            </w:r>
                          </w:p>
                          <w:p w14:paraId="03F60908" w14:textId="5A1F2D45" w:rsidR="009627A0" w:rsidRDefault="001E1ED7" w:rsidP="002D364D">
                            <w:pPr>
                              <w:pStyle w:val="ListParagraph"/>
                              <w:numPr>
                                <w:ilvl w:val="0"/>
                                <w:numId w:val="6"/>
                              </w:numPr>
                              <w:spacing w:line="0" w:lineRule="atLeast"/>
                              <w:ind w:right="317"/>
                              <w:rPr>
                                <w:rFonts w:ascii="AvenirNext LT Pro Regular" w:hAnsi="AvenirNext LT Pro Regular" w:cs="Tahoma"/>
                                <w:b/>
                                <w:color w:val="3B3B3B"/>
                                <w:sz w:val="22"/>
                                <w:szCs w:val="22"/>
                              </w:rPr>
                            </w:pPr>
                            <w:r>
                              <w:rPr>
                                <w:rFonts w:ascii="AvenirNext LT Pro Regular" w:hAnsi="AvenirNext LT Pro Regular" w:cs="Tahoma"/>
                                <w:b/>
                                <w:color w:val="3B3B3B"/>
                                <w:sz w:val="22"/>
                                <w:szCs w:val="22"/>
                              </w:rPr>
                              <w:t>Fed continue</w:t>
                            </w:r>
                            <w:r w:rsidR="00D73B6B">
                              <w:rPr>
                                <w:rFonts w:ascii="AvenirNext LT Pro Regular" w:hAnsi="AvenirNext LT Pro Regular" w:cs="Tahoma"/>
                                <w:b/>
                                <w:color w:val="3B3B3B"/>
                                <w:sz w:val="22"/>
                                <w:szCs w:val="22"/>
                              </w:rPr>
                              <w:t>d</w:t>
                            </w:r>
                            <w:r>
                              <w:rPr>
                                <w:rFonts w:ascii="AvenirNext LT Pro Regular" w:hAnsi="AvenirNext LT Pro Regular" w:cs="Tahoma"/>
                                <w:b/>
                                <w:color w:val="3B3B3B"/>
                                <w:sz w:val="22"/>
                                <w:szCs w:val="22"/>
                              </w:rPr>
                              <w:t xml:space="preserve"> to </w:t>
                            </w:r>
                            <w:r w:rsidR="00394836">
                              <w:rPr>
                                <w:rFonts w:ascii="AvenirNext LT Pro Regular" w:hAnsi="AvenirNext LT Pro Regular" w:cs="Tahoma"/>
                                <w:b/>
                                <w:color w:val="3B3B3B"/>
                                <w:sz w:val="22"/>
                                <w:szCs w:val="22"/>
                              </w:rPr>
                              <w:t>pause</w:t>
                            </w:r>
                            <w:r w:rsidR="006A4356">
                              <w:rPr>
                                <w:rFonts w:ascii="AvenirNext LT Pro Regular" w:hAnsi="AvenirNext LT Pro Regular" w:cs="Tahoma"/>
                                <w:b/>
                                <w:color w:val="3B3B3B"/>
                                <w:sz w:val="22"/>
                                <w:szCs w:val="22"/>
                              </w:rPr>
                              <w:t xml:space="preserve"> but not pivot</w:t>
                            </w:r>
                            <w:r w:rsidR="00732DBE">
                              <w:rPr>
                                <w:rFonts w:ascii="AvenirNext LT Pro Regular" w:hAnsi="AvenirNext LT Pro Regular" w:cs="Tahoma"/>
                                <w:b/>
                                <w:color w:val="3B3B3B"/>
                                <w:sz w:val="22"/>
                                <w:szCs w:val="22"/>
                              </w:rPr>
                              <w:t xml:space="preserve">, keeping rates at the 5.25-5.5% level they set in July.  </w:t>
                            </w:r>
                          </w:p>
                          <w:p w14:paraId="7F417BE0" w14:textId="77777777" w:rsidR="00A76D50" w:rsidRPr="00A76D50" w:rsidRDefault="00A76D50" w:rsidP="00A76D50">
                            <w:pPr>
                              <w:pStyle w:val="ListParagraph"/>
                              <w:spacing w:line="0" w:lineRule="atLeast"/>
                              <w:ind w:left="540" w:right="315"/>
                              <w:rPr>
                                <w:rFonts w:ascii="AvenirNext LT Pro Regular" w:hAnsi="AvenirNext LT Pro Regular" w:cs="Tahoma"/>
                                <w:b/>
                                <w:color w:val="3B3B3B"/>
                                <w:sz w:val="22"/>
                                <w:szCs w:val="22"/>
                              </w:rPr>
                            </w:pPr>
                          </w:p>
                          <w:p w14:paraId="27150B73" w14:textId="5E7148AA" w:rsidR="00E67397" w:rsidRPr="00016C01" w:rsidRDefault="00E67397" w:rsidP="0004396A">
                            <w:pPr>
                              <w:ind w:left="540" w:right="315"/>
                              <w:rPr>
                                <w:rFonts w:ascii="AvenirNext LT Pro Regular" w:hAnsi="AvenirNext LT Pro Regular" w:cs="Tahoma"/>
                                <w:b/>
                                <w:color w:val="3B3B3B"/>
                                <w:sz w:val="22"/>
                                <w:szCs w:val="22"/>
                              </w:rPr>
                            </w:pPr>
                            <w:r w:rsidRPr="00016C01">
                              <w:rPr>
                                <w:rFonts w:ascii="AvenirNext LT Pro Regular" w:hAnsi="AvenirNext LT Pro Regular" w:cs="Tahoma"/>
                                <w:b/>
                                <w:color w:val="3B3B3B"/>
                                <w:sz w:val="22"/>
                                <w:szCs w:val="22"/>
                              </w:rPr>
                              <w:t>Positive Signals:</w:t>
                            </w:r>
                          </w:p>
                          <w:p w14:paraId="1BB950EE" w14:textId="2D941C13" w:rsidR="00CB06AD" w:rsidRDefault="00CB06AD">
                            <w:pPr>
                              <w:pStyle w:val="ListParagraph"/>
                              <w:numPr>
                                <w:ilvl w:val="0"/>
                                <w:numId w:val="2"/>
                              </w:numPr>
                              <w:ind w:right="315"/>
                              <w:rPr>
                                <w:rFonts w:ascii="AvenirNext LT Pro Regular" w:hAnsi="AvenirNext LT Pro Regular" w:cs="Tahoma"/>
                                <w:b/>
                                <w:color w:val="3B3B3B"/>
                                <w:sz w:val="22"/>
                                <w:szCs w:val="22"/>
                              </w:rPr>
                            </w:pPr>
                            <w:r>
                              <w:rPr>
                                <w:rFonts w:ascii="AvenirNext LT Pro Regular" w:hAnsi="AvenirNext LT Pro Regular" w:cs="Tahoma"/>
                                <w:b/>
                                <w:color w:val="3B3B3B"/>
                                <w:sz w:val="22"/>
                                <w:szCs w:val="22"/>
                              </w:rPr>
                              <w:t>It</w:t>
                            </w:r>
                            <w:r w:rsidR="00CA2BA4">
                              <w:rPr>
                                <w:rFonts w:ascii="AvenirNext LT Pro Regular" w:hAnsi="AvenirNext LT Pro Regular" w:cs="Tahoma"/>
                                <w:b/>
                                <w:color w:val="3B3B3B"/>
                                <w:sz w:val="22"/>
                                <w:szCs w:val="22"/>
                              </w:rPr>
                              <w:t xml:space="preserve"> was a strong year for investor returns, even with all the noise, highlighting how hard it is to time the markets.</w:t>
                            </w:r>
                          </w:p>
                          <w:p w14:paraId="12C3F7BB" w14:textId="1275257C" w:rsidR="00A54705" w:rsidRDefault="00124618">
                            <w:pPr>
                              <w:pStyle w:val="ListParagraph"/>
                              <w:numPr>
                                <w:ilvl w:val="0"/>
                                <w:numId w:val="2"/>
                              </w:numPr>
                              <w:ind w:right="315"/>
                              <w:rPr>
                                <w:rFonts w:ascii="AvenirNext LT Pro Regular" w:hAnsi="AvenirNext LT Pro Regular" w:cs="Tahoma"/>
                                <w:b/>
                                <w:color w:val="3B3B3B"/>
                                <w:sz w:val="22"/>
                                <w:szCs w:val="22"/>
                              </w:rPr>
                            </w:pPr>
                            <w:r>
                              <w:rPr>
                                <w:rFonts w:ascii="AvenirNext LT Pro Regular" w:hAnsi="AvenirNext LT Pro Regular" w:cs="Tahoma"/>
                                <w:b/>
                                <w:color w:val="3B3B3B"/>
                                <w:sz w:val="22"/>
                                <w:szCs w:val="22"/>
                              </w:rPr>
                              <w:t xml:space="preserve">Inflation measures continue to </w:t>
                            </w:r>
                            <w:r w:rsidR="000F253C">
                              <w:rPr>
                                <w:rFonts w:ascii="AvenirNext LT Pro Regular" w:hAnsi="AvenirNext LT Pro Regular" w:cs="Tahoma"/>
                                <w:b/>
                                <w:color w:val="3B3B3B"/>
                                <w:sz w:val="22"/>
                                <w:szCs w:val="22"/>
                              </w:rPr>
                              <w:t>recede from their recent peaks</w:t>
                            </w:r>
                            <w:r w:rsidR="00D329E0">
                              <w:rPr>
                                <w:rFonts w:ascii="AvenirNext LT Pro Regular" w:hAnsi="AvenirNext LT Pro Regular" w:cs="Tahoma"/>
                                <w:b/>
                                <w:color w:val="3B3B3B"/>
                                <w:sz w:val="22"/>
                                <w:szCs w:val="22"/>
                              </w:rPr>
                              <w:t>; hope for a soft landing abound</w:t>
                            </w:r>
                            <w:r w:rsidR="007E2B23">
                              <w:rPr>
                                <w:rFonts w:ascii="AvenirNext LT Pro Regular" w:hAnsi="AvenirNext LT Pro Regular" w:cs="Tahoma"/>
                                <w:b/>
                                <w:color w:val="3B3B3B"/>
                                <w:sz w:val="22"/>
                                <w:szCs w:val="22"/>
                              </w:rPr>
                              <w:t>s</w:t>
                            </w:r>
                            <w:r w:rsidR="00C44146">
                              <w:rPr>
                                <w:rFonts w:ascii="AvenirNext LT Pro Regular" w:hAnsi="AvenirNext LT Pro Regular" w:cs="Tahoma"/>
                                <w:b/>
                                <w:color w:val="3B3B3B"/>
                                <w:sz w:val="22"/>
                                <w:szCs w:val="22"/>
                              </w:rPr>
                              <w:t>.</w:t>
                            </w:r>
                            <w:r w:rsidR="00D329E0">
                              <w:rPr>
                                <w:rFonts w:ascii="AvenirNext LT Pro Regular" w:hAnsi="AvenirNext LT Pro Regular" w:cs="Tahoma"/>
                                <w:b/>
                                <w:color w:val="3B3B3B"/>
                                <w:sz w:val="22"/>
                                <w:szCs w:val="22"/>
                              </w:rPr>
                              <w:t xml:space="preserve">  </w:t>
                            </w:r>
                          </w:p>
                          <w:p w14:paraId="50E198F9" w14:textId="36B9D8EE" w:rsidR="00542485" w:rsidRDefault="00011D32">
                            <w:pPr>
                              <w:pStyle w:val="ListParagraph"/>
                              <w:numPr>
                                <w:ilvl w:val="0"/>
                                <w:numId w:val="2"/>
                              </w:numPr>
                              <w:ind w:right="315"/>
                              <w:rPr>
                                <w:rFonts w:ascii="AvenirNext LT Pro Regular" w:hAnsi="AvenirNext LT Pro Regular" w:cs="Tahoma"/>
                                <w:b/>
                                <w:color w:val="3B3B3B"/>
                                <w:sz w:val="22"/>
                                <w:szCs w:val="22"/>
                              </w:rPr>
                            </w:pPr>
                            <w:r>
                              <w:rPr>
                                <w:rFonts w:ascii="AvenirNext LT Pro Regular" w:hAnsi="AvenirNext LT Pro Regular" w:cs="Tahoma"/>
                                <w:b/>
                                <w:color w:val="3B3B3B"/>
                                <w:sz w:val="22"/>
                                <w:szCs w:val="22"/>
                              </w:rPr>
                              <w:t xml:space="preserve">There is more “income” from fixed income than there has been in </w:t>
                            </w:r>
                            <w:r w:rsidR="008164DC">
                              <w:rPr>
                                <w:rFonts w:ascii="AvenirNext LT Pro Regular" w:hAnsi="AvenirNext LT Pro Regular" w:cs="Tahoma"/>
                                <w:b/>
                                <w:color w:val="3B3B3B"/>
                                <w:sz w:val="22"/>
                                <w:szCs w:val="22"/>
                              </w:rPr>
                              <w:t>years</w:t>
                            </w:r>
                            <w:r>
                              <w:rPr>
                                <w:rFonts w:ascii="AvenirNext LT Pro Regular" w:hAnsi="AvenirNext LT Pro Regular" w:cs="Tahoma"/>
                                <w:b/>
                                <w:color w:val="3B3B3B"/>
                                <w:sz w:val="22"/>
                                <w:szCs w:val="22"/>
                              </w:rPr>
                              <w:t>.</w:t>
                            </w:r>
                            <w:r w:rsidR="00277E75">
                              <w:rPr>
                                <w:rFonts w:ascii="AvenirNext LT Pro Regular" w:hAnsi="AvenirNext LT Pro Regular" w:cs="Tahoma"/>
                                <w:b/>
                                <w:color w:val="3B3B3B"/>
                                <w:sz w:val="22"/>
                                <w:szCs w:val="22"/>
                              </w:rPr>
                              <w:t xml:space="preserve"> </w:t>
                            </w:r>
                          </w:p>
                          <w:p w14:paraId="3A4B9692" w14:textId="77777777" w:rsidR="00907D0F" w:rsidRPr="00FE06A7" w:rsidRDefault="00907D0F" w:rsidP="00907D0F">
                            <w:pPr>
                              <w:pStyle w:val="ListParagraph"/>
                              <w:ind w:left="540" w:right="315"/>
                              <w:rPr>
                                <w:rFonts w:ascii="AvenirNext LT Pro Regular" w:hAnsi="AvenirNext LT Pro Regular" w:cs="Tahoma"/>
                                <w:b/>
                                <w:color w:val="3B3B3B"/>
                                <w:sz w:val="22"/>
                                <w:szCs w:val="22"/>
                              </w:rPr>
                            </w:pPr>
                          </w:p>
                          <w:p w14:paraId="6F388FE6" w14:textId="77777777" w:rsidR="00D33633" w:rsidRPr="00016C01" w:rsidRDefault="00D33633" w:rsidP="0004396A">
                            <w:pPr>
                              <w:ind w:left="180" w:right="317" w:firstLine="360"/>
                              <w:rPr>
                                <w:rFonts w:ascii="AvenirNext LT Pro Regular" w:hAnsi="AvenirNext LT Pro Regular" w:cs="Tahoma"/>
                                <w:b/>
                                <w:color w:val="3B3B3B"/>
                                <w:sz w:val="22"/>
                                <w:szCs w:val="22"/>
                              </w:rPr>
                            </w:pPr>
                            <w:r w:rsidRPr="00016C01">
                              <w:rPr>
                                <w:rFonts w:ascii="AvenirNext LT Pro Regular" w:hAnsi="AvenirNext LT Pro Regular" w:cs="Tahoma"/>
                                <w:b/>
                                <w:color w:val="3B3B3B"/>
                                <w:sz w:val="22"/>
                                <w:szCs w:val="22"/>
                              </w:rPr>
                              <w:t>Reasons for concern:</w:t>
                            </w:r>
                          </w:p>
                          <w:p w14:paraId="192CC3D8" w14:textId="7E3C4716" w:rsidR="008470E3" w:rsidRDefault="00A84A10">
                            <w:pPr>
                              <w:pStyle w:val="ListParagraph"/>
                              <w:numPr>
                                <w:ilvl w:val="0"/>
                                <w:numId w:val="3"/>
                              </w:numPr>
                              <w:spacing w:line="0" w:lineRule="atLeast"/>
                              <w:ind w:left="547" w:right="315"/>
                              <w:rPr>
                                <w:rFonts w:ascii="AvenirNext LT Pro Regular" w:hAnsi="AvenirNext LT Pro Regular" w:cs="Tahoma"/>
                                <w:b/>
                                <w:color w:val="3B3B3B"/>
                                <w:sz w:val="22"/>
                                <w:szCs w:val="22"/>
                              </w:rPr>
                            </w:pPr>
                            <w:r w:rsidRPr="00A84A10">
                              <w:rPr>
                                <w:rFonts w:ascii="AvenirNext LT Pro Regular" w:hAnsi="AvenirNext LT Pro Regular" w:cs="Tahoma"/>
                                <w:b/>
                                <w:color w:val="3B3B3B"/>
                                <w:sz w:val="22"/>
                                <w:szCs w:val="22"/>
                              </w:rPr>
                              <w:t xml:space="preserve">US large cap </w:t>
                            </w:r>
                            <w:r w:rsidR="00296539">
                              <w:rPr>
                                <w:rFonts w:ascii="AvenirNext LT Pro Regular" w:hAnsi="AvenirNext LT Pro Regular" w:cs="Tahoma"/>
                                <w:b/>
                                <w:color w:val="3B3B3B"/>
                                <w:sz w:val="22"/>
                                <w:szCs w:val="22"/>
                              </w:rPr>
                              <w:t>stocks’</w:t>
                            </w:r>
                            <w:r w:rsidRPr="00A84A10">
                              <w:rPr>
                                <w:rFonts w:ascii="AvenirNext LT Pro Regular" w:hAnsi="AvenirNext LT Pro Regular" w:cs="Tahoma"/>
                                <w:b/>
                                <w:color w:val="3B3B3B"/>
                                <w:sz w:val="22"/>
                                <w:szCs w:val="22"/>
                              </w:rPr>
                              <w:t xml:space="preserve"> return is being driven by only a </w:t>
                            </w:r>
                            <w:r w:rsidR="00CE0B9B">
                              <w:rPr>
                                <w:rFonts w:ascii="AvenirNext LT Pro Regular" w:hAnsi="AvenirNext LT Pro Regular" w:cs="Tahoma"/>
                                <w:b/>
                                <w:color w:val="3B3B3B"/>
                                <w:sz w:val="22"/>
                                <w:szCs w:val="22"/>
                              </w:rPr>
                              <w:t>small number</w:t>
                            </w:r>
                            <w:r w:rsidRPr="00A84A10">
                              <w:rPr>
                                <w:rFonts w:ascii="AvenirNext LT Pro Regular" w:hAnsi="AvenirNext LT Pro Regular" w:cs="Tahoma"/>
                                <w:b/>
                                <w:color w:val="3B3B3B"/>
                                <w:sz w:val="22"/>
                                <w:szCs w:val="22"/>
                              </w:rPr>
                              <w:t xml:space="preserve"> of stocks</w:t>
                            </w:r>
                            <w:r w:rsidR="007F6C40">
                              <w:rPr>
                                <w:rFonts w:ascii="AvenirNext LT Pro Regular" w:hAnsi="AvenirNext LT Pro Regular" w:cs="Tahoma"/>
                                <w:b/>
                                <w:color w:val="3B3B3B"/>
                                <w:sz w:val="22"/>
                                <w:szCs w:val="22"/>
                              </w:rPr>
                              <w:t xml:space="preserve"> (the Magnificent 7)</w:t>
                            </w:r>
                            <w:r w:rsidR="00F550A1">
                              <w:rPr>
                                <w:rFonts w:ascii="AvenirNext LT Pro Regular" w:hAnsi="AvenirNext LT Pro Regular" w:cs="Tahoma"/>
                                <w:b/>
                                <w:color w:val="3B3B3B"/>
                                <w:sz w:val="22"/>
                                <w:szCs w:val="22"/>
                              </w:rPr>
                              <w:t>.</w:t>
                            </w:r>
                          </w:p>
                          <w:p w14:paraId="048899D3" w14:textId="522D0764" w:rsidR="00CC0E17" w:rsidRDefault="00CC0E17" w:rsidP="0088613A">
                            <w:pPr>
                              <w:pStyle w:val="ListParagraph"/>
                              <w:numPr>
                                <w:ilvl w:val="0"/>
                                <w:numId w:val="3"/>
                              </w:numPr>
                              <w:spacing w:line="0" w:lineRule="atLeast"/>
                              <w:ind w:left="547" w:right="315"/>
                              <w:rPr>
                                <w:rFonts w:ascii="AvenirNext LT Pro Regular" w:hAnsi="AvenirNext LT Pro Regular" w:cs="Tahoma"/>
                                <w:b/>
                                <w:color w:val="3B3B3B"/>
                                <w:sz w:val="22"/>
                                <w:szCs w:val="22"/>
                              </w:rPr>
                            </w:pPr>
                            <w:r w:rsidRPr="00245CE8">
                              <w:rPr>
                                <w:rFonts w:ascii="AvenirNext LT Pro Regular" w:hAnsi="AvenirNext LT Pro Regular" w:cs="Tahoma"/>
                                <w:b/>
                                <w:color w:val="3B3B3B"/>
                                <w:sz w:val="22"/>
                                <w:szCs w:val="22"/>
                              </w:rPr>
                              <w:t xml:space="preserve">Many geopolitical risks lurk in the background including </w:t>
                            </w:r>
                            <w:r w:rsidR="00245CE8" w:rsidRPr="00245CE8">
                              <w:rPr>
                                <w:rFonts w:ascii="AvenirNext LT Pro Regular" w:hAnsi="AvenirNext LT Pro Regular" w:cs="Tahoma"/>
                                <w:b/>
                                <w:color w:val="3B3B3B"/>
                                <w:sz w:val="22"/>
                                <w:szCs w:val="22"/>
                              </w:rPr>
                              <w:t xml:space="preserve">wars in the Ukraine and Middle East, </w:t>
                            </w:r>
                            <w:r w:rsidR="00245CE8">
                              <w:rPr>
                                <w:rFonts w:ascii="AvenirNext LT Pro Regular" w:hAnsi="AvenirNext LT Pro Regular" w:cs="Tahoma"/>
                                <w:b/>
                                <w:color w:val="3B3B3B"/>
                                <w:sz w:val="22"/>
                                <w:szCs w:val="22"/>
                              </w:rPr>
                              <w:t>possibilities of a US government shutdown, and 2024 is a presidential election year in the US.</w:t>
                            </w:r>
                          </w:p>
                          <w:p w14:paraId="0A16981D" w14:textId="5CB33056" w:rsidR="00306F71" w:rsidRDefault="00306F71" w:rsidP="0088613A">
                            <w:pPr>
                              <w:pStyle w:val="ListParagraph"/>
                              <w:numPr>
                                <w:ilvl w:val="0"/>
                                <w:numId w:val="3"/>
                              </w:numPr>
                              <w:spacing w:line="0" w:lineRule="atLeast"/>
                              <w:ind w:left="547" w:right="315"/>
                              <w:rPr>
                                <w:rFonts w:ascii="AvenirNext LT Pro Regular" w:hAnsi="AvenirNext LT Pro Regular" w:cs="Tahoma"/>
                                <w:b/>
                                <w:color w:val="3B3B3B"/>
                                <w:sz w:val="22"/>
                                <w:szCs w:val="22"/>
                              </w:rPr>
                            </w:pPr>
                            <w:r>
                              <w:rPr>
                                <w:rFonts w:ascii="AvenirNext LT Pro Regular" w:hAnsi="AvenirNext LT Pro Regular" w:cs="Tahoma"/>
                                <w:b/>
                                <w:color w:val="3B3B3B"/>
                                <w:sz w:val="22"/>
                                <w:szCs w:val="22"/>
                              </w:rPr>
                              <w:t>It’s still possible that inflation can increase again, causing the Fed to raise rates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4B812B" id="_x0000_t202" coordsize="21600,21600" o:spt="202" path="m,l,21600r21600,l21600,xe">
                <v:stroke joinstyle="miter"/>
                <v:path gradientshapeok="t" o:connecttype="rect"/>
              </v:shapetype>
              <v:shape id="Text Box 84" o:spid="_x0000_s1026" type="#_x0000_t202" style="position:absolute;left:0;text-align:left;margin-left:265.9pt;margin-top:.15pt;width:243pt;height:8in;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ulEwIAACAEAAAOAAAAZHJzL2Uyb0RvYy54bWysU9tu2zAMfR+wfxD0vthxkyY14hRZ0g4D&#10;ugvQ7QNkWY6FyaImKbGzry8lu2l2exnmB0E0qUPy8HB127eKHIV1EnRBp5OUEqE5VFLvC/r1y/2b&#10;JSXOM10xBVoU9CQcvV2/frXqTC4yaEBVwhIE0S7vTEEb702eJI43omVuAkZodNZgW+bRtPuksqxD&#10;9FYlWZpeJx3Yyljgwjn8uxucdB3x61pw/6munfBEFRRr8/G08SzDmaxXLN9bZhrJxzLYP1TRMqkx&#10;6RlqxzwjByt/g2olt+Cg9hMObQJ1LbmIPWA30/SXbh4bZkTsBclx5kyT+3+w/OPx0Xy2xPdvoccB&#10;xiaceQD+zREN24bpvdhYC10jWIWJp4GypDMuH58Gql3uAkjZfYAKh8wOHiJQX9s2sIJ9EkTHAZzO&#10;pIveE44/r9Ll9TRFF0ff4mo6x7HGHCx/fm6s8+8EtCRcCmpxqhGeHR+cD+Ww/DkkZHOgZHUvlYqG&#10;3ZdbZcmRoQLuFptdlo3oP4UpTbqC3syz+cDAXyHS+P0JopUepaxkW9DlOYjlgbc7XUWheSbVcMeS&#10;lR6JDNwNLPq+7DEwEFpCdUJKLQySxRXDSwP2ByUdyrWg7vuBWUGJeq9xLDfT2SzoOxqz+SJDw156&#10;yksP0xyhCuopGa5bH3ciEKZhg+OrZST2pZKxVpRh5HtcmaDzSztGvSz2+gkAAP//AwBQSwMEFAAG&#10;AAgAAAAhAOCwkgLeAAAACgEAAA8AAABkcnMvZG93bnJldi54bWxMj0FPg0AQhe8m/ofNmHizCyWt&#10;BlkatTFGb1ab9jjAFFB2lrDbgv/e6Ulv7+VN3vsmW022UycafOvYQDyLQBGXrmq5NvD58XxzB8oH&#10;5Ao7x2Tghzys8suLDNPKjfxOp02olZSwT9FAE0Kfau3Lhiz6meuJJTu4wWIQO9S6GnCUctvpeRQt&#10;tcWWZaHBnp4aKr83R2vgtUDaod29OLd+bL/267fteFgac301PdyDCjSFv2M44ws65MJUuCNXXnUG&#10;Fkks6MFAAuocR/Gt+EJUvJgnoPNM/38h/wUAAP//AwBQSwECLQAUAAYACAAAACEAtoM4kv4AAADh&#10;AQAAEwAAAAAAAAAAAAAAAAAAAAAAW0NvbnRlbnRfVHlwZXNdLnhtbFBLAQItABQABgAIAAAAIQA4&#10;/SH/1gAAAJQBAAALAAAAAAAAAAAAAAAAAC8BAABfcmVscy8ucmVsc1BLAQItABQABgAIAAAAIQAh&#10;3VulEwIAACAEAAAOAAAAAAAAAAAAAAAAAC4CAABkcnMvZTJvRG9jLnhtbFBLAQItABQABgAIAAAA&#10;IQDgsJIC3gAAAAoBAAAPAAAAAAAAAAAAAAAAAG0EAABkcnMvZG93bnJldi54bWxQSwUGAAAAAAQA&#10;BADzAAAAeAUAAAAA&#10;" fillcolor="#e7ad22">
                <v:textbox>
                  <w:txbxContent>
                    <w:p w14:paraId="12A26390" w14:textId="77777777" w:rsidR="00886E02" w:rsidRPr="004D51AF" w:rsidRDefault="00886E02" w:rsidP="00886E02">
                      <w:pPr>
                        <w:ind w:left="180" w:right="315" w:firstLine="360"/>
                        <w:jc w:val="center"/>
                        <w:rPr>
                          <w:rFonts w:ascii="Tahoma" w:eastAsiaTheme="majorEastAsia" w:hAnsi="Tahoma" w:cs="Tahoma"/>
                          <w:b/>
                          <w:caps/>
                          <w:color w:val="F99F1B"/>
                          <w:sz w:val="22"/>
                          <w:szCs w:val="22"/>
                        </w:rPr>
                      </w:pPr>
                    </w:p>
                    <w:p w14:paraId="7AD25676" w14:textId="77777777" w:rsidR="00886E02" w:rsidRPr="00FF726F" w:rsidRDefault="00621FF4" w:rsidP="00886E02">
                      <w:pPr>
                        <w:ind w:left="180" w:right="315"/>
                        <w:jc w:val="center"/>
                        <w:rPr>
                          <w:rFonts w:ascii="AvenirNext LT Pro Regular" w:eastAsiaTheme="majorEastAsia" w:hAnsi="AvenirNext LT Pro Regular" w:cs="Tahoma"/>
                          <w:bCs/>
                          <w:caps/>
                          <w:color w:val="3B3B3B"/>
                          <w:sz w:val="32"/>
                          <w:szCs w:val="32"/>
                        </w:rPr>
                      </w:pPr>
                      <w:r w:rsidRPr="00FF726F">
                        <w:rPr>
                          <w:rFonts w:ascii="AvenirNext LT Pro Regular" w:eastAsiaTheme="majorEastAsia" w:hAnsi="AvenirNext LT Pro Regular" w:cs="Tahoma"/>
                          <w:bCs/>
                          <w:caps/>
                          <w:color w:val="3B3B3B"/>
                          <w:sz w:val="32"/>
                          <w:szCs w:val="32"/>
                        </w:rPr>
                        <w:t xml:space="preserve">Keeping a </w:t>
                      </w:r>
                    </w:p>
                    <w:p w14:paraId="724BF42F" w14:textId="77777777" w:rsidR="00621FF4" w:rsidRPr="00FF726F" w:rsidRDefault="00621FF4" w:rsidP="00886E02">
                      <w:pPr>
                        <w:ind w:left="180" w:right="315"/>
                        <w:jc w:val="center"/>
                        <w:rPr>
                          <w:rFonts w:ascii="AvenirNext LT Pro Regular" w:eastAsiaTheme="majorEastAsia" w:hAnsi="AvenirNext LT Pro Regular" w:cs="Tahoma"/>
                          <w:bCs/>
                          <w:caps/>
                          <w:color w:val="3B3B3B"/>
                          <w:sz w:val="32"/>
                          <w:szCs w:val="32"/>
                        </w:rPr>
                      </w:pPr>
                      <w:r w:rsidRPr="00FF726F">
                        <w:rPr>
                          <w:rFonts w:ascii="AvenirNext LT Pro Regular" w:eastAsiaTheme="majorEastAsia" w:hAnsi="AvenirNext LT Pro Regular" w:cs="Tahoma"/>
                          <w:bCs/>
                          <w:caps/>
                          <w:color w:val="3B3B3B"/>
                          <w:sz w:val="32"/>
                          <w:szCs w:val="32"/>
                        </w:rPr>
                        <w:t>balanced approach</w:t>
                      </w:r>
                    </w:p>
                    <w:p w14:paraId="66E3B113" w14:textId="77777777" w:rsidR="00621FF4" w:rsidRPr="00FE3001" w:rsidRDefault="00886E02" w:rsidP="00886E02">
                      <w:pPr>
                        <w:ind w:left="180" w:right="315" w:firstLine="360"/>
                        <w:jc w:val="center"/>
                        <w:rPr>
                          <w:rFonts w:ascii="Tahoma" w:eastAsiaTheme="majorEastAsia" w:hAnsi="Tahoma" w:cs="Tahoma"/>
                          <w:b/>
                          <w:caps/>
                          <w:color w:val="3B3B3B"/>
                          <w:sz w:val="22"/>
                          <w:szCs w:val="22"/>
                        </w:rPr>
                      </w:pPr>
                      <w:r w:rsidRPr="00FE3001">
                        <w:rPr>
                          <w:rFonts w:ascii="Tahoma" w:eastAsiaTheme="majorEastAsia" w:hAnsi="Tahoma" w:cs="Tahoma"/>
                          <w:b/>
                          <w:caps/>
                          <w:color w:val="3B3B3B"/>
                          <w:sz w:val="22"/>
                          <w:szCs w:val="22"/>
                        </w:rPr>
                        <w:t>__________________</w:t>
                      </w:r>
                    </w:p>
                    <w:p w14:paraId="480D0570" w14:textId="77777777" w:rsidR="00886E02" w:rsidRPr="004D51AF" w:rsidRDefault="00886E02" w:rsidP="00886E02">
                      <w:pPr>
                        <w:ind w:left="540" w:right="315"/>
                        <w:jc w:val="center"/>
                        <w:rPr>
                          <w:rFonts w:ascii="Tahoma" w:eastAsiaTheme="majorEastAsia" w:hAnsi="Tahoma" w:cs="Tahoma"/>
                          <w:b/>
                          <w:caps/>
                          <w:color w:val="F99F1B"/>
                          <w:sz w:val="22"/>
                          <w:szCs w:val="22"/>
                        </w:rPr>
                      </w:pPr>
                    </w:p>
                    <w:p w14:paraId="369663DE" w14:textId="77777777" w:rsidR="00886E02" w:rsidRPr="00BF352D" w:rsidRDefault="00886E02" w:rsidP="009C27C1">
                      <w:pPr>
                        <w:ind w:left="540" w:right="315"/>
                        <w:rPr>
                          <w:rFonts w:ascii="AvenirNext LT Pro Regular" w:hAnsi="AvenirNext LT Pro Regular" w:cs="Tahoma"/>
                          <w:b/>
                          <w:color w:val="3B3B3B"/>
                          <w:sz w:val="22"/>
                          <w:szCs w:val="22"/>
                        </w:rPr>
                      </w:pPr>
                      <w:r w:rsidRPr="00BF352D">
                        <w:rPr>
                          <w:rFonts w:ascii="AvenirNext LT Pro Regular" w:hAnsi="AvenirNext LT Pro Regular" w:cs="Tahoma"/>
                          <w:b/>
                          <w:color w:val="3B3B3B"/>
                          <w:sz w:val="22"/>
                          <w:szCs w:val="22"/>
                        </w:rPr>
                        <w:t>Summary:</w:t>
                      </w:r>
                    </w:p>
                    <w:p w14:paraId="4050D02D" w14:textId="146FE89B" w:rsidR="009712C3" w:rsidRDefault="004B0C78" w:rsidP="00BC7C42">
                      <w:pPr>
                        <w:pStyle w:val="ListParagraph"/>
                        <w:numPr>
                          <w:ilvl w:val="0"/>
                          <w:numId w:val="6"/>
                        </w:numPr>
                        <w:spacing w:line="0" w:lineRule="atLeast"/>
                        <w:ind w:right="317"/>
                        <w:rPr>
                          <w:rFonts w:ascii="AvenirNext LT Pro Regular" w:hAnsi="AvenirNext LT Pro Regular" w:cs="Tahoma"/>
                          <w:b/>
                          <w:color w:val="3B3B3B"/>
                          <w:sz w:val="22"/>
                          <w:szCs w:val="22"/>
                        </w:rPr>
                      </w:pPr>
                      <w:r>
                        <w:rPr>
                          <w:rFonts w:ascii="AvenirNext LT Pro Regular" w:hAnsi="AvenirNext LT Pro Regular" w:cs="Tahoma"/>
                          <w:b/>
                          <w:color w:val="3B3B3B"/>
                          <w:sz w:val="22"/>
                          <w:szCs w:val="22"/>
                        </w:rPr>
                        <w:t>All s</w:t>
                      </w:r>
                      <w:r w:rsidR="00D85185">
                        <w:rPr>
                          <w:rFonts w:ascii="AvenirNext LT Pro Regular" w:hAnsi="AvenirNext LT Pro Regular" w:cs="Tahoma"/>
                          <w:b/>
                          <w:color w:val="3B3B3B"/>
                          <w:sz w:val="22"/>
                          <w:szCs w:val="22"/>
                        </w:rPr>
                        <w:t xml:space="preserve">tock and bond </w:t>
                      </w:r>
                      <w:r>
                        <w:rPr>
                          <w:rFonts w:ascii="AvenirNext LT Pro Regular" w:hAnsi="AvenirNext LT Pro Regular" w:cs="Tahoma"/>
                          <w:b/>
                          <w:color w:val="3B3B3B"/>
                          <w:sz w:val="22"/>
                          <w:szCs w:val="22"/>
                        </w:rPr>
                        <w:t xml:space="preserve">indexes shown were positive for Q4 and </w:t>
                      </w:r>
                      <w:r w:rsidR="00AF15C5">
                        <w:rPr>
                          <w:rFonts w:ascii="AvenirNext LT Pro Regular" w:hAnsi="AvenirNext LT Pro Regular" w:cs="Tahoma"/>
                          <w:b/>
                          <w:color w:val="3B3B3B"/>
                          <w:sz w:val="22"/>
                          <w:szCs w:val="22"/>
                        </w:rPr>
                        <w:t xml:space="preserve">for the year.  </w:t>
                      </w:r>
                      <w:r w:rsidR="00FC1334">
                        <w:rPr>
                          <w:rFonts w:ascii="AvenirNext LT Pro Regular" w:hAnsi="AvenirNext LT Pro Regular" w:cs="Tahoma"/>
                          <w:b/>
                          <w:color w:val="3B3B3B"/>
                          <w:sz w:val="22"/>
                          <w:szCs w:val="22"/>
                        </w:rPr>
                        <w:t xml:space="preserve">A global </w:t>
                      </w:r>
                      <w:r w:rsidR="00DA2A96">
                        <w:rPr>
                          <w:rFonts w:ascii="AvenirNext LT Pro Regular" w:hAnsi="AvenirNext LT Pro Regular" w:cs="Tahoma"/>
                          <w:b/>
                          <w:color w:val="3B3B3B"/>
                          <w:sz w:val="22"/>
                          <w:szCs w:val="22"/>
                        </w:rPr>
                        <w:t>portfolio of 60% stocks/40% bonds rose by 16.1% during 2023.</w:t>
                      </w:r>
                    </w:p>
                    <w:p w14:paraId="5745143D" w14:textId="74899700" w:rsidR="00FB5EDC" w:rsidRDefault="00725D40" w:rsidP="002D364D">
                      <w:pPr>
                        <w:pStyle w:val="ListParagraph"/>
                        <w:numPr>
                          <w:ilvl w:val="0"/>
                          <w:numId w:val="6"/>
                        </w:numPr>
                        <w:spacing w:line="0" w:lineRule="atLeast"/>
                        <w:ind w:right="317"/>
                        <w:rPr>
                          <w:rFonts w:ascii="AvenirNext LT Pro Regular" w:hAnsi="AvenirNext LT Pro Regular" w:cs="Tahoma"/>
                          <w:b/>
                          <w:color w:val="3B3B3B"/>
                          <w:sz w:val="22"/>
                          <w:szCs w:val="22"/>
                        </w:rPr>
                      </w:pPr>
                      <w:r>
                        <w:rPr>
                          <w:rFonts w:ascii="AvenirNext LT Pro Regular" w:hAnsi="AvenirNext LT Pro Regular" w:cs="Tahoma"/>
                          <w:b/>
                          <w:color w:val="3B3B3B"/>
                          <w:sz w:val="22"/>
                          <w:szCs w:val="22"/>
                        </w:rPr>
                        <w:t>Not surprisingly,</w:t>
                      </w:r>
                      <w:r w:rsidR="00C61D48">
                        <w:rPr>
                          <w:rFonts w:ascii="AvenirNext LT Pro Regular" w:hAnsi="AvenirNext LT Pro Regular" w:cs="Tahoma"/>
                          <w:b/>
                          <w:color w:val="3B3B3B"/>
                          <w:sz w:val="22"/>
                          <w:szCs w:val="22"/>
                        </w:rPr>
                        <w:t xml:space="preserve"> many strategists were</w:t>
                      </w:r>
                      <w:r>
                        <w:rPr>
                          <w:rFonts w:ascii="AvenirNext LT Pro Regular" w:hAnsi="AvenirNext LT Pro Regular" w:cs="Tahoma"/>
                          <w:b/>
                          <w:color w:val="3B3B3B"/>
                          <w:sz w:val="22"/>
                          <w:szCs w:val="22"/>
                        </w:rPr>
                        <w:t xml:space="preserve"> wrong in their predictions for how the S&amp;P 500 would so, as well as </w:t>
                      </w:r>
                      <w:r w:rsidR="004A07B5">
                        <w:rPr>
                          <w:rFonts w:ascii="AvenirNext LT Pro Regular" w:hAnsi="AvenirNext LT Pro Regular" w:cs="Tahoma"/>
                          <w:b/>
                          <w:color w:val="3B3B3B"/>
                          <w:sz w:val="22"/>
                          <w:szCs w:val="22"/>
                        </w:rPr>
                        <w:t>in</w:t>
                      </w:r>
                      <w:r>
                        <w:rPr>
                          <w:rFonts w:ascii="AvenirNext LT Pro Regular" w:hAnsi="AvenirNext LT Pro Regular" w:cs="Tahoma"/>
                          <w:b/>
                          <w:color w:val="3B3B3B"/>
                          <w:sz w:val="22"/>
                          <w:szCs w:val="22"/>
                        </w:rPr>
                        <w:t xml:space="preserve"> their predicting t</w:t>
                      </w:r>
                      <w:r w:rsidR="00FB5EDC">
                        <w:rPr>
                          <w:rFonts w:ascii="AvenirNext LT Pro Regular" w:hAnsi="AvenirNext LT Pro Regular" w:cs="Tahoma"/>
                          <w:b/>
                          <w:color w:val="3B3B3B"/>
                          <w:sz w:val="22"/>
                          <w:szCs w:val="22"/>
                        </w:rPr>
                        <w:t xml:space="preserve">he US economy </w:t>
                      </w:r>
                      <w:r>
                        <w:rPr>
                          <w:rFonts w:ascii="AvenirNext LT Pro Regular" w:hAnsi="AvenirNext LT Pro Regular" w:cs="Tahoma"/>
                          <w:b/>
                          <w:color w:val="3B3B3B"/>
                          <w:sz w:val="22"/>
                          <w:szCs w:val="22"/>
                        </w:rPr>
                        <w:t xml:space="preserve">would have a </w:t>
                      </w:r>
                      <w:r w:rsidR="00FB5EDC">
                        <w:rPr>
                          <w:rFonts w:ascii="AvenirNext LT Pro Regular" w:hAnsi="AvenirNext LT Pro Regular" w:cs="Tahoma"/>
                          <w:b/>
                          <w:color w:val="3B3B3B"/>
                          <w:sz w:val="22"/>
                          <w:szCs w:val="22"/>
                        </w:rPr>
                        <w:t>recession in 2023.</w:t>
                      </w:r>
                    </w:p>
                    <w:p w14:paraId="03F60908" w14:textId="5A1F2D45" w:rsidR="009627A0" w:rsidRDefault="001E1ED7" w:rsidP="002D364D">
                      <w:pPr>
                        <w:pStyle w:val="ListParagraph"/>
                        <w:numPr>
                          <w:ilvl w:val="0"/>
                          <w:numId w:val="6"/>
                        </w:numPr>
                        <w:spacing w:line="0" w:lineRule="atLeast"/>
                        <w:ind w:right="317"/>
                        <w:rPr>
                          <w:rFonts w:ascii="AvenirNext LT Pro Regular" w:hAnsi="AvenirNext LT Pro Regular" w:cs="Tahoma"/>
                          <w:b/>
                          <w:color w:val="3B3B3B"/>
                          <w:sz w:val="22"/>
                          <w:szCs w:val="22"/>
                        </w:rPr>
                      </w:pPr>
                      <w:r>
                        <w:rPr>
                          <w:rFonts w:ascii="AvenirNext LT Pro Regular" w:hAnsi="AvenirNext LT Pro Regular" w:cs="Tahoma"/>
                          <w:b/>
                          <w:color w:val="3B3B3B"/>
                          <w:sz w:val="22"/>
                          <w:szCs w:val="22"/>
                        </w:rPr>
                        <w:t>Fed continue</w:t>
                      </w:r>
                      <w:r w:rsidR="00D73B6B">
                        <w:rPr>
                          <w:rFonts w:ascii="AvenirNext LT Pro Regular" w:hAnsi="AvenirNext LT Pro Regular" w:cs="Tahoma"/>
                          <w:b/>
                          <w:color w:val="3B3B3B"/>
                          <w:sz w:val="22"/>
                          <w:szCs w:val="22"/>
                        </w:rPr>
                        <w:t>d</w:t>
                      </w:r>
                      <w:r>
                        <w:rPr>
                          <w:rFonts w:ascii="AvenirNext LT Pro Regular" w:hAnsi="AvenirNext LT Pro Regular" w:cs="Tahoma"/>
                          <w:b/>
                          <w:color w:val="3B3B3B"/>
                          <w:sz w:val="22"/>
                          <w:szCs w:val="22"/>
                        </w:rPr>
                        <w:t xml:space="preserve"> to </w:t>
                      </w:r>
                      <w:r w:rsidR="00394836">
                        <w:rPr>
                          <w:rFonts w:ascii="AvenirNext LT Pro Regular" w:hAnsi="AvenirNext LT Pro Regular" w:cs="Tahoma"/>
                          <w:b/>
                          <w:color w:val="3B3B3B"/>
                          <w:sz w:val="22"/>
                          <w:szCs w:val="22"/>
                        </w:rPr>
                        <w:t>pause</w:t>
                      </w:r>
                      <w:r w:rsidR="006A4356">
                        <w:rPr>
                          <w:rFonts w:ascii="AvenirNext LT Pro Regular" w:hAnsi="AvenirNext LT Pro Regular" w:cs="Tahoma"/>
                          <w:b/>
                          <w:color w:val="3B3B3B"/>
                          <w:sz w:val="22"/>
                          <w:szCs w:val="22"/>
                        </w:rPr>
                        <w:t xml:space="preserve"> but not pivot</w:t>
                      </w:r>
                      <w:r w:rsidR="00732DBE">
                        <w:rPr>
                          <w:rFonts w:ascii="AvenirNext LT Pro Regular" w:hAnsi="AvenirNext LT Pro Regular" w:cs="Tahoma"/>
                          <w:b/>
                          <w:color w:val="3B3B3B"/>
                          <w:sz w:val="22"/>
                          <w:szCs w:val="22"/>
                        </w:rPr>
                        <w:t xml:space="preserve">, keeping rates at the 5.25-5.5% level they set in July.  </w:t>
                      </w:r>
                    </w:p>
                    <w:p w14:paraId="7F417BE0" w14:textId="77777777" w:rsidR="00A76D50" w:rsidRPr="00A76D50" w:rsidRDefault="00A76D50" w:rsidP="00A76D50">
                      <w:pPr>
                        <w:pStyle w:val="ListParagraph"/>
                        <w:spacing w:line="0" w:lineRule="atLeast"/>
                        <w:ind w:left="540" w:right="315"/>
                        <w:rPr>
                          <w:rFonts w:ascii="AvenirNext LT Pro Regular" w:hAnsi="AvenirNext LT Pro Regular" w:cs="Tahoma"/>
                          <w:b/>
                          <w:color w:val="3B3B3B"/>
                          <w:sz w:val="22"/>
                          <w:szCs w:val="22"/>
                        </w:rPr>
                      </w:pPr>
                    </w:p>
                    <w:p w14:paraId="27150B73" w14:textId="5E7148AA" w:rsidR="00E67397" w:rsidRPr="00016C01" w:rsidRDefault="00E67397" w:rsidP="0004396A">
                      <w:pPr>
                        <w:ind w:left="540" w:right="315"/>
                        <w:rPr>
                          <w:rFonts w:ascii="AvenirNext LT Pro Regular" w:hAnsi="AvenirNext LT Pro Regular" w:cs="Tahoma"/>
                          <w:b/>
                          <w:color w:val="3B3B3B"/>
                          <w:sz w:val="22"/>
                          <w:szCs w:val="22"/>
                        </w:rPr>
                      </w:pPr>
                      <w:r w:rsidRPr="00016C01">
                        <w:rPr>
                          <w:rFonts w:ascii="AvenirNext LT Pro Regular" w:hAnsi="AvenirNext LT Pro Regular" w:cs="Tahoma"/>
                          <w:b/>
                          <w:color w:val="3B3B3B"/>
                          <w:sz w:val="22"/>
                          <w:szCs w:val="22"/>
                        </w:rPr>
                        <w:t>Positive Signals:</w:t>
                      </w:r>
                    </w:p>
                    <w:p w14:paraId="1BB950EE" w14:textId="2D941C13" w:rsidR="00CB06AD" w:rsidRDefault="00CB06AD">
                      <w:pPr>
                        <w:pStyle w:val="ListParagraph"/>
                        <w:numPr>
                          <w:ilvl w:val="0"/>
                          <w:numId w:val="2"/>
                        </w:numPr>
                        <w:ind w:right="315"/>
                        <w:rPr>
                          <w:rFonts w:ascii="AvenirNext LT Pro Regular" w:hAnsi="AvenirNext LT Pro Regular" w:cs="Tahoma"/>
                          <w:b/>
                          <w:color w:val="3B3B3B"/>
                          <w:sz w:val="22"/>
                          <w:szCs w:val="22"/>
                        </w:rPr>
                      </w:pPr>
                      <w:r>
                        <w:rPr>
                          <w:rFonts w:ascii="AvenirNext LT Pro Regular" w:hAnsi="AvenirNext LT Pro Regular" w:cs="Tahoma"/>
                          <w:b/>
                          <w:color w:val="3B3B3B"/>
                          <w:sz w:val="22"/>
                          <w:szCs w:val="22"/>
                        </w:rPr>
                        <w:t>It</w:t>
                      </w:r>
                      <w:r w:rsidR="00CA2BA4">
                        <w:rPr>
                          <w:rFonts w:ascii="AvenirNext LT Pro Regular" w:hAnsi="AvenirNext LT Pro Regular" w:cs="Tahoma"/>
                          <w:b/>
                          <w:color w:val="3B3B3B"/>
                          <w:sz w:val="22"/>
                          <w:szCs w:val="22"/>
                        </w:rPr>
                        <w:t xml:space="preserve"> was a strong year for investor returns, even with all the noise, highlighting how hard it is to time the markets.</w:t>
                      </w:r>
                    </w:p>
                    <w:p w14:paraId="12C3F7BB" w14:textId="1275257C" w:rsidR="00A54705" w:rsidRDefault="00124618">
                      <w:pPr>
                        <w:pStyle w:val="ListParagraph"/>
                        <w:numPr>
                          <w:ilvl w:val="0"/>
                          <w:numId w:val="2"/>
                        </w:numPr>
                        <w:ind w:right="315"/>
                        <w:rPr>
                          <w:rFonts w:ascii="AvenirNext LT Pro Regular" w:hAnsi="AvenirNext LT Pro Regular" w:cs="Tahoma"/>
                          <w:b/>
                          <w:color w:val="3B3B3B"/>
                          <w:sz w:val="22"/>
                          <w:szCs w:val="22"/>
                        </w:rPr>
                      </w:pPr>
                      <w:r>
                        <w:rPr>
                          <w:rFonts w:ascii="AvenirNext LT Pro Regular" w:hAnsi="AvenirNext LT Pro Regular" w:cs="Tahoma"/>
                          <w:b/>
                          <w:color w:val="3B3B3B"/>
                          <w:sz w:val="22"/>
                          <w:szCs w:val="22"/>
                        </w:rPr>
                        <w:t xml:space="preserve">Inflation measures continue to </w:t>
                      </w:r>
                      <w:r w:rsidR="000F253C">
                        <w:rPr>
                          <w:rFonts w:ascii="AvenirNext LT Pro Regular" w:hAnsi="AvenirNext LT Pro Regular" w:cs="Tahoma"/>
                          <w:b/>
                          <w:color w:val="3B3B3B"/>
                          <w:sz w:val="22"/>
                          <w:szCs w:val="22"/>
                        </w:rPr>
                        <w:t>recede from their recent peaks</w:t>
                      </w:r>
                      <w:r w:rsidR="00D329E0">
                        <w:rPr>
                          <w:rFonts w:ascii="AvenirNext LT Pro Regular" w:hAnsi="AvenirNext LT Pro Regular" w:cs="Tahoma"/>
                          <w:b/>
                          <w:color w:val="3B3B3B"/>
                          <w:sz w:val="22"/>
                          <w:szCs w:val="22"/>
                        </w:rPr>
                        <w:t>; hope for a soft landing abound</w:t>
                      </w:r>
                      <w:r w:rsidR="007E2B23">
                        <w:rPr>
                          <w:rFonts w:ascii="AvenirNext LT Pro Regular" w:hAnsi="AvenirNext LT Pro Regular" w:cs="Tahoma"/>
                          <w:b/>
                          <w:color w:val="3B3B3B"/>
                          <w:sz w:val="22"/>
                          <w:szCs w:val="22"/>
                        </w:rPr>
                        <w:t>s</w:t>
                      </w:r>
                      <w:r w:rsidR="00C44146">
                        <w:rPr>
                          <w:rFonts w:ascii="AvenirNext LT Pro Regular" w:hAnsi="AvenirNext LT Pro Regular" w:cs="Tahoma"/>
                          <w:b/>
                          <w:color w:val="3B3B3B"/>
                          <w:sz w:val="22"/>
                          <w:szCs w:val="22"/>
                        </w:rPr>
                        <w:t>.</w:t>
                      </w:r>
                      <w:r w:rsidR="00D329E0">
                        <w:rPr>
                          <w:rFonts w:ascii="AvenirNext LT Pro Regular" w:hAnsi="AvenirNext LT Pro Regular" w:cs="Tahoma"/>
                          <w:b/>
                          <w:color w:val="3B3B3B"/>
                          <w:sz w:val="22"/>
                          <w:szCs w:val="22"/>
                        </w:rPr>
                        <w:t xml:space="preserve">  </w:t>
                      </w:r>
                    </w:p>
                    <w:p w14:paraId="50E198F9" w14:textId="36B9D8EE" w:rsidR="00542485" w:rsidRDefault="00011D32">
                      <w:pPr>
                        <w:pStyle w:val="ListParagraph"/>
                        <w:numPr>
                          <w:ilvl w:val="0"/>
                          <w:numId w:val="2"/>
                        </w:numPr>
                        <w:ind w:right="315"/>
                        <w:rPr>
                          <w:rFonts w:ascii="AvenirNext LT Pro Regular" w:hAnsi="AvenirNext LT Pro Regular" w:cs="Tahoma"/>
                          <w:b/>
                          <w:color w:val="3B3B3B"/>
                          <w:sz w:val="22"/>
                          <w:szCs w:val="22"/>
                        </w:rPr>
                      </w:pPr>
                      <w:r>
                        <w:rPr>
                          <w:rFonts w:ascii="AvenirNext LT Pro Regular" w:hAnsi="AvenirNext LT Pro Regular" w:cs="Tahoma"/>
                          <w:b/>
                          <w:color w:val="3B3B3B"/>
                          <w:sz w:val="22"/>
                          <w:szCs w:val="22"/>
                        </w:rPr>
                        <w:t xml:space="preserve">There is more “income” from fixed income than there has been in </w:t>
                      </w:r>
                      <w:r w:rsidR="008164DC">
                        <w:rPr>
                          <w:rFonts w:ascii="AvenirNext LT Pro Regular" w:hAnsi="AvenirNext LT Pro Regular" w:cs="Tahoma"/>
                          <w:b/>
                          <w:color w:val="3B3B3B"/>
                          <w:sz w:val="22"/>
                          <w:szCs w:val="22"/>
                        </w:rPr>
                        <w:t>years</w:t>
                      </w:r>
                      <w:r>
                        <w:rPr>
                          <w:rFonts w:ascii="AvenirNext LT Pro Regular" w:hAnsi="AvenirNext LT Pro Regular" w:cs="Tahoma"/>
                          <w:b/>
                          <w:color w:val="3B3B3B"/>
                          <w:sz w:val="22"/>
                          <w:szCs w:val="22"/>
                        </w:rPr>
                        <w:t>.</w:t>
                      </w:r>
                      <w:r w:rsidR="00277E75">
                        <w:rPr>
                          <w:rFonts w:ascii="AvenirNext LT Pro Regular" w:hAnsi="AvenirNext LT Pro Regular" w:cs="Tahoma"/>
                          <w:b/>
                          <w:color w:val="3B3B3B"/>
                          <w:sz w:val="22"/>
                          <w:szCs w:val="22"/>
                        </w:rPr>
                        <w:t xml:space="preserve"> </w:t>
                      </w:r>
                    </w:p>
                    <w:p w14:paraId="3A4B9692" w14:textId="77777777" w:rsidR="00907D0F" w:rsidRPr="00FE06A7" w:rsidRDefault="00907D0F" w:rsidP="00907D0F">
                      <w:pPr>
                        <w:pStyle w:val="ListParagraph"/>
                        <w:ind w:left="540" w:right="315"/>
                        <w:rPr>
                          <w:rFonts w:ascii="AvenirNext LT Pro Regular" w:hAnsi="AvenirNext LT Pro Regular" w:cs="Tahoma"/>
                          <w:b/>
                          <w:color w:val="3B3B3B"/>
                          <w:sz w:val="22"/>
                          <w:szCs w:val="22"/>
                        </w:rPr>
                      </w:pPr>
                    </w:p>
                    <w:p w14:paraId="6F388FE6" w14:textId="77777777" w:rsidR="00D33633" w:rsidRPr="00016C01" w:rsidRDefault="00D33633" w:rsidP="0004396A">
                      <w:pPr>
                        <w:ind w:left="180" w:right="317" w:firstLine="360"/>
                        <w:rPr>
                          <w:rFonts w:ascii="AvenirNext LT Pro Regular" w:hAnsi="AvenirNext LT Pro Regular" w:cs="Tahoma"/>
                          <w:b/>
                          <w:color w:val="3B3B3B"/>
                          <w:sz w:val="22"/>
                          <w:szCs w:val="22"/>
                        </w:rPr>
                      </w:pPr>
                      <w:r w:rsidRPr="00016C01">
                        <w:rPr>
                          <w:rFonts w:ascii="AvenirNext LT Pro Regular" w:hAnsi="AvenirNext LT Pro Regular" w:cs="Tahoma"/>
                          <w:b/>
                          <w:color w:val="3B3B3B"/>
                          <w:sz w:val="22"/>
                          <w:szCs w:val="22"/>
                        </w:rPr>
                        <w:t>Reasons for concern:</w:t>
                      </w:r>
                    </w:p>
                    <w:p w14:paraId="192CC3D8" w14:textId="7E3C4716" w:rsidR="008470E3" w:rsidRDefault="00A84A10">
                      <w:pPr>
                        <w:pStyle w:val="ListParagraph"/>
                        <w:numPr>
                          <w:ilvl w:val="0"/>
                          <w:numId w:val="3"/>
                        </w:numPr>
                        <w:spacing w:line="0" w:lineRule="atLeast"/>
                        <w:ind w:left="547" w:right="315"/>
                        <w:rPr>
                          <w:rFonts w:ascii="AvenirNext LT Pro Regular" w:hAnsi="AvenirNext LT Pro Regular" w:cs="Tahoma"/>
                          <w:b/>
                          <w:color w:val="3B3B3B"/>
                          <w:sz w:val="22"/>
                          <w:szCs w:val="22"/>
                        </w:rPr>
                      </w:pPr>
                      <w:r w:rsidRPr="00A84A10">
                        <w:rPr>
                          <w:rFonts w:ascii="AvenirNext LT Pro Regular" w:hAnsi="AvenirNext LT Pro Regular" w:cs="Tahoma"/>
                          <w:b/>
                          <w:color w:val="3B3B3B"/>
                          <w:sz w:val="22"/>
                          <w:szCs w:val="22"/>
                        </w:rPr>
                        <w:t xml:space="preserve">US large cap </w:t>
                      </w:r>
                      <w:r w:rsidR="00296539">
                        <w:rPr>
                          <w:rFonts w:ascii="AvenirNext LT Pro Regular" w:hAnsi="AvenirNext LT Pro Regular" w:cs="Tahoma"/>
                          <w:b/>
                          <w:color w:val="3B3B3B"/>
                          <w:sz w:val="22"/>
                          <w:szCs w:val="22"/>
                        </w:rPr>
                        <w:t>stocks’</w:t>
                      </w:r>
                      <w:r w:rsidRPr="00A84A10">
                        <w:rPr>
                          <w:rFonts w:ascii="AvenirNext LT Pro Regular" w:hAnsi="AvenirNext LT Pro Regular" w:cs="Tahoma"/>
                          <w:b/>
                          <w:color w:val="3B3B3B"/>
                          <w:sz w:val="22"/>
                          <w:szCs w:val="22"/>
                        </w:rPr>
                        <w:t xml:space="preserve"> return is being driven by only a </w:t>
                      </w:r>
                      <w:r w:rsidR="00CE0B9B">
                        <w:rPr>
                          <w:rFonts w:ascii="AvenirNext LT Pro Regular" w:hAnsi="AvenirNext LT Pro Regular" w:cs="Tahoma"/>
                          <w:b/>
                          <w:color w:val="3B3B3B"/>
                          <w:sz w:val="22"/>
                          <w:szCs w:val="22"/>
                        </w:rPr>
                        <w:t>small number</w:t>
                      </w:r>
                      <w:r w:rsidRPr="00A84A10">
                        <w:rPr>
                          <w:rFonts w:ascii="AvenirNext LT Pro Regular" w:hAnsi="AvenirNext LT Pro Regular" w:cs="Tahoma"/>
                          <w:b/>
                          <w:color w:val="3B3B3B"/>
                          <w:sz w:val="22"/>
                          <w:szCs w:val="22"/>
                        </w:rPr>
                        <w:t xml:space="preserve"> of stocks</w:t>
                      </w:r>
                      <w:r w:rsidR="007F6C40">
                        <w:rPr>
                          <w:rFonts w:ascii="AvenirNext LT Pro Regular" w:hAnsi="AvenirNext LT Pro Regular" w:cs="Tahoma"/>
                          <w:b/>
                          <w:color w:val="3B3B3B"/>
                          <w:sz w:val="22"/>
                          <w:szCs w:val="22"/>
                        </w:rPr>
                        <w:t xml:space="preserve"> (the Magnificent 7)</w:t>
                      </w:r>
                      <w:r w:rsidR="00F550A1">
                        <w:rPr>
                          <w:rFonts w:ascii="AvenirNext LT Pro Regular" w:hAnsi="AvenirNext LT Pro Regular" w:cs="Tahoma"/>
                          <w:b/>
                          <w:color w:val="3B3B3B"/>
                          <w:sz w:val="22"/>
                          <w:szCs w:val="22"/>
                        </w:rPr>
                        <w:t>.</w:t>
                      </w:r>
                    </w:p>
                    <w:p w14:paraId="048899D3" w14:textId="522D0764" w:rsidR="00CC0E17" w:rsidRDefault="00CC0E17" w:rsidP="0088613A">
                      <w:pPr>
                        <w:pStyle w:val="ListParagraph"/>
                        <w:numPr>
                          <w:ilvl w:val="0"/>
                          <w:numId w:val="3"/>
                        </w:numPr>
                        <w:spacing w:line="0" w:lineRule="atLeast"/>
                        <w:ind w:left="547" w:right="315"/>
                        <w:rPr>
                          <w:rFonts w:ascii="AvenirNext LT Pro Regular" w:hAnsi="AvenirNext LT Pro Regular" w:cs="Tahoma"/>
                          <w:b/>
                          <w:color w:val="3B3B3B"/>
                          <w:sz w:val="22"/>
                          <w:szCs w:val="22"/>
                        </w:rPr>
                      </w:pPr>
                      <w:r w:rsidRPr="00245CE8">
                        <w:rPr>
                          <w:rFonts w:ascii="AvenirNext LT Pro Regular" w:hAnsi="AvenirNext LT Pro Regular" w:cs="Tahoma"/>
                          <w:b/>
                          <w:color w:val="3B3B3B"/>
                          <w:sz w:val="22"/>
                          <w:szCs w:val="22"/>
                        </w:rPr>
                        <w:t xml:space="preserve">Many geopolitical risks lurk in the background including </w:t>
                      </w:r>
                      <w:r w:rsidR="00245CE8" w:rsidRPr="00245CE8">
                        <w:rPr>
                          <w:rFonts w:ascii="AvenirNext LT Pro Regular" w:hAnsi="AvenirNext LT Pro Regular" w:cs="Tahoma"/>
                          <w:b/>
                          <w:color w:val="3B3B3B"/>
                          <w:sz w:val="22"/>
                          <w:szCs w:val="22"/>
                        </w:rPr>
                        <w:t xml:space="preserve">wars in the Ukraine and Middle East, </w:t>
                      </w:r>
                      <w:r w:rsidR="00245CE8">
                        <w:rPr>
                          <w:rFonts w:ascii="AvenirNext LT Pro Regular" w:hAnsi="AvenirNext LT Pro Regular" w:cs="Tahoma"/>
                          <w:b/>
                          <w:color w:val="3B3B3B"/>
                          <w:sz w:val="22"/>
                          <w:szCs w:val="22"/>
                        </w:rPr>
                        <w:t>possibilities of a US government shutdown, and 2024 is a presidential election year in the US.</w:t>
                      </w:r>
                    </w:p>
                    <w:p w14:paraId="0A16981D" w14:textId="5CB33056" w:rsidR="00306F71" w:rsidRDefault="00306F71" w:rsidP="0088613A">
                      <w:pPr>
                        <w:pStyle w:val="ListParagraph"/>
                        <w:numPr>
                          <w:ilvl w:val="0"/>
                          <w:numId w:val="3"/>
                        </w:numPr>
                        <w:spacing w:line="0" w:lineRule="atLeast"/>
                        <w:ind w:left="547" w:right="315"/>
                        <w:rPr>
                          <w:rFonts w:ascii="AvenirNext LT Pro Regular" w:hAnsi="AvenirNext LT Pro Regular" w:cs="Tahoma"/>
                          <w:b/>
                          <w:color w:val="3B3B3B"/>
                          <w:sz w:val="22"/>
                          <w:szCs w:val="22"/>
                        </w:rPr>
                      </w:pPr>
                      <w:r>
                        <w:rPr>
                          <w:rFonts w:ascii="AvenirNext LT Pro Regular" w:hAnsi="AvenirNext LT Pro Regular" w:cs="Tahoma"/>
                          <w:b/>
                          <w:color w:val="3B3B3B"/>
                          <w:sz w:val="22"/>
                          <w:szCs w:val="22"/>
                        </w:rPr>
                        <w:t>It’s still possible that inflation can increase again, causing the Fed to raise rates again.</w:t>
                      </w:r>
                    </w:p>
                  </w:txbxContent>
                </v:textbox>
                <w10:wrap type="square"/>
              </v:shape>
            </w:pict>
          </mc:Fallback>
        </mc:AlternateContent>
      </w:r>
      <w:r w:rsidR="00716735" w:rsidRPr="00716735">
        <w:rPr>
          <w:rFonts w:ascii="Source Sans Pro" w:hAnsi="Source Sans Pro" w:cs="Tahoma"/>
          <w:b/>
          <w:noProof/>
          <w:sz w:val="22"/>
          <w:szCs w:val="22"/>
          <w:highlight w:val="yellow"/>
          <w14:textOutline w14:w="9525" w14:cap="rnd" w14:cmpd="sng" w14:algn="ctr">
            <w14:solidFill>
              <w14:schemeClr w14:val="accent1"/>
            </w14:solidFill>
            <w14:prstDash w14:val="solid"/>
            <w14:bevel/>
          </w14:textOutline>
        </w:rPr>
        <mc:AlternateContent>
          <mc:Choice Requires="wps">
            <w:drawing>
              <wp:anchor distT="0" distB="0" distL="114300" distR="114300" simplePos="0" relativeHeight="251658241" behindDoc="0" locked="0" layoutInCell="1" allowOverlap="1" wp14:anchorId="63A86718" wp14:editId="1827F13D">
                <wp:simplePos x="0" y="0"/>
                <wp:positionH relativeFrom="margin">
                  <wp:posOffset>-76200</wp:posOffset>
                </wp:positionH>
                <wp:positionV relativeFrom="paragraph">
                  <wp:posOffset>6743065</wp:posOffset>
                </wp:positionV>
                <wp:extent cx="3505200" cy="487680"/>
                <wp:effectExtent l="0" t="0" r="0" b="7620"/>
                <wp:wrapSquare wrapText="bothSides"/>
                <wp:docPr id="4" name="Text Box 4"/>
                <wp:cNvGraphicFramePr/>
                <a:graphic xmlns:a="http://schemas.openxmlformats.org/drawingml/2006/main">
                  <a:graphicData uri="http://schemas.microsoft.com/office/word/2010/wordprocessingShape">
                    <wps:wsp>
                      <wps:cNvSpPr txBox="1"/>
                      <wps:spPr>
                        <a:xfrm>
                          <a:off x="0" y="0"/>
                          <a:ext cx="3505200" cy="487680"/>
                        </a:xfrm>
                        <a:prstGeom prst="rect">
                          <a:avLst/>
                        </a:prstGeom>
                        <a:noFill/>
                        <a:ln w="6350">
                          <a:noFill/>
                        </a:ln>
                      </wps:spPr>
                      <wps:txbx>
                        <w:txbxContent>
                          <w:p w14:paraId="1A3732E3" w14:textId="23090781" w:rsidR="000123F0" w:rsidRPr="00FF726F" w:rsidRDefault="000123F0" w:rsidP="000123F0">
                            <w:pPr>
                              <w:rPr>
                                <w:rFonts w:ascii="AvenirNext LT Pro Regular" w:hAnsi="AvenirNext LT Pro Regular" w:cs="Tahoma"/>
                                <w:sz w:val="16"/>
                                <w:szCs w:val="16"/>
                              </w:rPr>
                            </w:pPr>
                            <w:r w:rsidRPr="00FF726F">
                              <w:rPr>
                                <w:rFonts w:ascii="AvenirNext LT Pro Regular" w:hAnsi="AvenirNext LT Pro Regular" w:cs="Tahoma"/>
                                <w:sz w:val="16"/>
                                <w:szCs w:val="16"/>
                              </w:rPr>
                              <w:t>Source: Morningstar</w:t>
                            </w:r>
                            <w:r w:rsidR="00FB401A" w:rsidRPr="00FF726F">
                              <w:rPr>
                                <w:rFonts w:ascii="AvenirNext LT Pro Regular" w:hAnsi="AvenirNext LT Pro Regular" w:cs="Tahoma"/>
                                <w:sz w:val="16"/>
                                <w:szCs w:val="16"/>
                              </w:rPr>
                              <w:t xml:space="preserve">; Russell, </w:t>
                            </w:r>
                            <w:r w:rsidRPr="00FF726F">
                              <w:rPr>
                                <w:rFonts w:ascii="AvenirNext LT Pro Regular" w:hAnsi="AvenirNext LT Pro Regular" w:cs="Tahoma"/>
                                <w:sz w:val="16"/>
                                <w:szCs w:val="16"/>
                              </w:rPr>
                              <w:t>MSCI</w:t>
                            </w:r>
                            <w:r w:rsidR="0001364F" w:rsidRPr="00FF726F">
                              <w:rPr>
                                <w:rFonts w:ascii="AvenirNext LT Pro Regular" w:hAnsi="AvenirNext LT Pro Regular" w:cs="Tahoma"/>
                                <w:sz w:val="16"/>
                                <w:szCs w:val="16"/>
                              </w:rPr>
                              <w:t>,</w:t>
                            </w:r>
                            <w:r w:rsidR="00F25605" w:rsidRPr="00FF726F">
                              <w:rPr>
                                <w:rFonts w:ascii="AvenirNext LT Pro Regular" w:hAnsi="AvenirNext LT Pro Regular" w:cs="Tahoma"/>
                                <w:sz w:val="16"/>
                                <w:szCs w:val="16"/>
                              </w:rPr>
                              <w:t xml:space="preserve"> Dow Jones,</w:t>
                            </w:r>
                            <w:r w:rsidR="0001364F" w:rsidRPr="00FF726F">
                              <w:rPr>
                                <w:rFonts w:ascii="AvenirNext LT Pro Regular" w:hAnsi="AvenirNext LT Pro Regular" w:cs="Tahoma"/>
                                <w:sz w:val="16"/>
                                <w:szCs w:val="16"/>
                              </w:rPr>
                              <w:t xml:space="preserve"> Bloomberg, ICE </w:t>
                            </w:r>
                            <w:proofErr w:type="spellStart"/>
                            <w:r w:rsidR="0001364F" w:rsidRPr="00FF726F">
                              <w:rPr>
                                <w:rFonts w:ascii="AvenirNext LT Pro Regular" w:hAnsi="AvenirNext LT Pro Regular" w:cs="Tahoma"/>
                                <w:sz w:val="16"/>
                                <w:szCs w:val="16"/>
                              </w:rPr>
                              <w:t>BoA</w:t>
                            </w:r>
                            <w:proofErr w:type="spellEnd"/>
                            <w:r w:rsidR="0001364F" w:rsidRPr="00FF726F">
                              <w:rPr>
                                <w:rFonts w:ascii="AvenirNext LT Pro Regular" w:hAnsi="AvenirNext LT Pro Regular" w:cs="Tahoma"/>
                                <w:sz w:val="16"/>
                                <w:szCs w:val="16"/>
                              </w:rPr>
                              <w:t xml:space="preserve"> ML benchmarks shown; </w:t>
                            </w:r>
                            <w:r w:rsidRPr="00FF726F">
                              <w:rPr>
                                <w:rFonts w:ascii="AvenirNext LT Pro Regular" w:hAnsi="AvenirNext LT Pro Regular" w:cs="Tahoma"/>
                                <w:sz w:val="16"/>
                                <w:szCs w:val="16"/>
                              </w:rPr>
                              <w:t>past performance is not indicative of future results</w:t>
                            </w:r>
                          </w:p>
                          <w:p w14:paraId="52A7DD25" w14:textId="77777777" w:rsidR="000123F0" w:rsidRPr="002B4530" w:rsidRDefault="000123F0" w:rsidP="000123F0">
                            <w:pPr>
                              <w:rPr>
                                <w:rFonts w:ascii="Tahoma" w:eastAsiaTheme="minorHAnsi"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86718" id="Text Box 4" o:spid="_x0000_s1027" type="#_x0000_t202" style="position:absolute;left:0;text-align:left;margin-left:-6pt;margin-top:530.95pt;width:276pt;height:38.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PH+GAIAADMEAAAOAAAAZHJzL2Uyb0RvYy54bWysU02P2yAQvVfqf0DcGztpkk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fp7kE+SCEo6+8exuOku4ZtfX1vnwTUBDolFSh7QktNhh&#10;7QNWxNBzSCxmYKW0TtRoQ9qSTrFEenDx4Att8OG112iFbtsRVd3MsYXqiOM56Jn3lq8U9rBmPrww&#10;h1Rj2yjf8IyL1IC14GRRUoP79bf7GI8MoJeSFqVTUv9zz5ygRH83yM2X4XgctZYO48ndCA/u1rO9&#10;9Zh98wCoziF+FMuTGeODPpvSQfOGKl/GquhihmPtkoaz+RB6QeMv4WK5TEGoLsvC2mwsj6kjqhHh&#10;1+6NOXuiISCBT3AWGSvesdHH9nws9wGkSlRFnHtUT/CjMhODp18UpX97TlHXv774DQAA//8DAFBL&#10;AwQUAAYACAAAACEAaT8h7+MAAAANAQAADwAAAGRycy9kb3ducmV2LnhtbEyPzU7DMBCE70i8g7VI&#10;3Fo7gZYQ4lRVpAoJ0UNLL9yceJtE+CfEbht4epYTHHdmNPtNsZqsYWccQ++dhGQugKFrvO5dK+Hw&#10;tpllwEJUTivjHUr4wgCr8vqqULn2F7fD8z62jEpcyJWELsYh5zw0HVoV5n5AR97Rj1ZFOseW61Fd&#10;qNwangqx5Fb1jj50asCqw+Zjf7ISXqrNVu3q1Gbfpnp+Pa6Hz8P7Qsrbm2n9BCziFP/C8ItP6FAS&#10;U+1PTgdmJMySlLZEMsQyeQRGkcW9IKkmKbnLHoCXBf+/ovwBAAD//wMAUEsBAi0AFAAGAAgAAAAh&#10;ALaDOJL+AAAA4QEAABMAAAAAAAAAAAAAAAAAAAAAAFtDb250ZW50X1R5cGVzXS54bWxQSwECLQAU&#10;AAYACAAAACEAOP0h/9YAAACUAQAACwAAAAAAAAAAAAAAAAAvAQAAX3JlbHMvLnJlbHNQSwECLQAU&#10;AAYACAAAACEAuOjx/hgCAAAzBAAADgAAAAAAAAAAAAAAAAAuAgAAZHJzL2Uyb0RvYy54bWxQSwEC&#10;LQAUAAYACAAAACEAaT8h7+MAAAANAQAADwAAAAAAAAAAAAAAAAByBAAAZHJzL2Rvd25yZXYueG1s&#10;UEsFBgAAAAAEAAQA8wAAAIIFAAAAAA==&#10;" filled="f" stroked="f" strokeweight=".5pt">
                <v:textbox>
                  <w:txbxContent>
                    <w:p w14:paraId="1A3732E3" w14:textId="23090781" w:rsidR="000123F0" w:rsidRPr="00FF726F" w:rsidRDefault="000123F0" w:rsidP="000123F0">
                      <w:pPr>
                        <w:rPr>
                          <w:rFonts w:ascii="AvenirNext LT Pro Regular" w:hAnsi="AvenirNext LT Pro Regular" w:cs="Tahoma"/>
                          <w:sz w:val="16"/>
                          <w:szCs w:val="16"/>
                        </w:rPr>
                      </w:pPr>
                      <w:r w:rsidRPr="00FF726F">
                        <w:rPr>
                          <w:rFonts w:ascii="AvenirNext LT Pro Regular" w:hAnsi="AvenirNext LT Pro Regular" w:cs="Tahoma"/>
                          <w:sz w:val="16"/>
                          <w:szCs w:val="16"/>
                        </w:rPr>
                        <w:t>Source: Morningstar</w:t>
                      </w:r>
                      <w:r w:rsidR="00FB401A" w:rsidRPr="00FF726F">
                        <w:rPr>
                          <w:rFonts w:ascii="AvenirNext LT Pro Regular" w:hAnsi="AvenirNext LT Pro Regular" w:cs="Tahoma"/>
                          <w:sz w:val="16"/>
                          <w:szCs w:val="16"/>
                        </w:rPr>
                        <w:t xml:space="preserve">; Russell, </w:t>
                      </w:r>
                      <w:r w:rsidRPr="00FF726F">
                        <w:rPr>
                          <w:rFonts w:ascii="AvenirNext LT Pro Regular" w:hAnsi="AvenirNext LT Pro Regular" w:cs="Tahoma"/>
                          <w:sz w:val="16"/>
                          <w:szCs w:val="16"/>
                        </w:rPr>
                        <w:t>MSCI</w:t>
                      </w:r>
                      <w:r w:rsidR="0001364F" w:rsidRPr="00FF726F">
                        <w:rPr>
                          <w:rFonts w:ascii="AvenirNext LT Pro Regular" w:hAnsi="AvenirNext LT Pro Regular" w:cs="Tahoma"/>
                          <w:sz w:val="16"/>
                          <w:szCs w:val="16"/>
                        </w:rPr>
                        <w:t>,</w:t>
                      </w:r>
                      <w:r w:rsidR="00F25605" w:rsidRPr="00FF726F">
                        <w:rPr>
                          <w:rFonts w:ascii="AvenirNext LT Pro Regular" w:hAnsi="AvenirNext LT Pro Regular" w:cs="Tahoma"/>
                          <w:sz w:val="16"/>
                          <w:szCs w:val="16"/>
                        </w:rPr>
                        <w:t xml:space="preserve"> Dow Jones,</w:t>
                      </w:r>
                      <w:r w:rsidR="0001364F" w:rsidRPr="00FF726F">
                        <w:rPr>
                          <w:rFonts w:ascii="AvenirNext LT Pro Regular" w:hAnsi="AvenirNext LT Pro Regular" w:cs="Tahoma"/>
                          <w:sz w:val="16"/>
                          <w:szCs w:val="16"/>
                        </w:rPr>
                        <w:t xml:space="preserve"> Bloomberg, ICE </w:t>
                      </w:r>
                      <w:proofErr w:type="spellStart"/>
                      <w:r w:rsidR="0001364F" w:rsidRPr="00FF726F">
                        <w:rPr>
                          <w:rFonts w:ascii="AvenirNext LT Pro Regular" w:hAnsi="AvenirNext LT Pro Regular" w:cs="Tahoma"/>
                          <w:sz w:val="16"/>
                          <w:szCs w:val="16"/>
                        </w:rPr>
                        <w:t>BoA</w:t>
                      </w:r>
                      <w:proofErr w:type="spellEnd"/>
                      <w:r w:rsidR="0001364F" w:rsidRPr="00FF726F">
                        <w:rPr>
                          <w:rFonts w:ascii="AvenirNext LT Pro Regular" w:hAnsi="AvenirNext LT Pro Regular" w:cs="Tahoma"/>
                          <w:sz w:val="16"/>
                          <w:szCs w:val="16"/>
                        </w:rPr>
                        <w:t xml:space="preserve"> ML benchmarks shown; </w:t>
                      </w:r>
                      <w:r w:rsidRPr="00FF726F">
                        <w:rPr>
                          <w:rFonts w:ascii="AvenirNext LT Pro Regular" w:hAnsi="AvenirNext LT Pro Regular" w:cs="Tahoma"/>
                          <w:sz w:val="16"/>
                          <w:szCs w:val="16"/>
                        </w:rPr>
                        <w:t>past performance is not indicative of future results</w:t>
                      </w:r>
                    </w:p>
                    <w:p w14:paraId="52A7DD25" w14:textId="77777777" w:rsidR="000123F0" w:rsidRPr="002B4530" w:rsidRDefault="000123F0" w:rsidP="000123F0">
                      <w:pPr>
                        <w:rPr>
                          <w:rFonts w:ascii="Tahoma" w:eastAsiaTheme="minorHAnsi" w:hAnsi="Tahoma" w:cs="Tahoma"/>
                          <w:sz w:val="20"/>
                          <w:szCs w:val="20"/>
                        </w:rPr>
                      </w:pPr>
                    </w:p>
                  </w:txbxContent>
                </v:textbox>
                <w10:wrap type="square" anchorx="margin"/>
              </v:shape>
            </w:pict>
          </mc:Fallback>
        </mc:AlternateContent>
      </w:r>
      <w:r w:rsidR="001C3F9C" w:rsidRPr="00716735">
        <w:rPr>
          <w:rFonts w:ascii="Source Sans Pro" w:hAnsi="Source Sans Pro" w:cs="Tahoma"/>
          <w:noProof/>
          <w:sz w:val="22"/>
          <w:szCs w:val="22"/>
          <w14:textOutline w14:w="9525" w14:cap="rnd" w14:cmpd="sng" w14:algn="ctr">
            <w14:solidFill>
              <w14:schemeClr w14:val="accent1"/>
            </w14:solidFill>
            <w14:prstDash w14:val="solid"/>
            <w14:bevel/>
          </w14:textOutline>
        </w:rPr>
        <w:drawing>
          <wp:inline distT="0" distB="0" distL="0" distR="0" wp14:anchorId="41D21BB1" wp14:editId="63DCD546">
            <wp:extent cx="3181350" cy="664464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D08E3" w:rsidRPr="00716735">
        <w:rPr>
          <w:rFonts w:ascii="Source Sans Pro" w:hAnsi="Source Sans Pro" w:cs="Tahoma"/>
          <w:b/>
          <w:sz w:val="22"/>
          <w:szCs w:val="22"/>
          <w:u w:val="single"/>
          <w14:textOutline w14:w="9525" w14:cap="rnd" w14:cmpd="sng" w14:algn="ctr">
            <w14:solidFill>
              <w14:schemeClr w14:val="accent1"/>
            </w14:solidFill>
            <w14:prstDash w14:val="solid"/>
            <w14:bevel/>
          </w14:textOutline>
        </w:rPr>
        <w:t xml:space="preserve"> </w:t>
      </w:r>
    </w:p>
    <w:p w14:paraId="12E68570" w14:textId="0508593A" w:rsidR="00583909" w:rsidRDefault="00583909" w:rsidP="00E80725">
      <w:pPr>
        <w:jc w:val="both"/>
        <w:rPr>
          <w:rFonts w:ascii="Source Sans Pro" w:hAnsi="Source Sans Pro" w:cs="Tahoma"/>
          <w:b/>
          <w:sz w:val="22"/>
          <w:szCs w:val="22"/>
          <w:u w:val="single"/>
        </w:rPr>
      </w:pPr>
    </w:p>
    <w:p w14:paraId="60B41640" w14:textId="564CFF14" w:rsidR="00583909" w:rsidRDefault="00583909" w:rsidP="00E80725">
      <w:pPr>
        <w:jc w:val="both"/>
        <w:rPr>
          <w:rFonts w:ascii="Source Sans Pro" w:hAnsi="Source Sans Pro" w:cs="Tahoma"/>
          <w:b/>
          <w:sz w:val="22"/>
          <w:szCs w:val="22"/>
          <w:u w:val="single"/>
        </w:rPr>
      </w:pPr>
    </w:p>
    <w:p w14:paraId="45D873F6" w14:textId="77777777" w:rsidR="00F01BA9" w:rsidRDefault="00F01BA9" w:rsidP="00D65262">
      <w:pPr>
        <w:jc w:val="both"/>
        <w:rPr>
          <w:rFonts w:ascii="Source Sans Pro" w:hAnsi="Source Sans Pro" w:cs="Tahoma"/>
          <w:b/>
          <w:sz w:val="22"/>
          <w:szCs w:val="22"/>
          <w:u w:val="single"/>
        </w:rPr>
      </w:pPr>
    </w:p>
    <w:p w14:paraId="390FA0D4" w14:textId="77777777" w:rsidR="00CE3D7D" w:rsidRDefault="00CE3D7D" w:rsidP="00821E54">
      <w:pPr>
        <w:jc w:val="both"/>
        <w:rPr>
          <w:rFonts w:ascii="AvenirNext LT Pro Regular" w:hAnsi="AvenirNext LT Pro Regular" w:cs="Tahoma"/>
          <w:b/>
          <w:sz w:val="20"/>
          <w:szCs w:val="20"/>
          <w:u w:val="single"/>
        </w:rPr>
      </w:pPr>
      <w:bookmarkStart w:id="0" w:name="_Hlk63081397"/>
      <w:r>
        <w:rPr>
          <w:rFonts w:ascii="AvenirNext LT Pro Regular" w:hAnsi="AvenirNext LT Pro Regular" w:cs="Tahoma"/>
          <w:b/>
          <w:sz w:val="20"/>
          <w:szCs w:val="20"/>
          <w:u w:val="single"/>
        </w:rPr>
        <w:t>2023 by the numbers</w:t>
      </w:r>
    </w:p>
    <w:p w14:paraId="51863A5B" w14:textId="77777777" w:rsidR="00CE3D7D" w:rsidRDefault="00CE3D7D" w:rsidP="00821E54">
      <w:pPr>
        <w:jc w:val="both"/>
        <w:rPr>
          <w:rFonts w:ascii="AvenirNext LT Pro Regular" w:hAnsi="AvenirNext LT Pro Regular" w:cs="Tahoma"/>
          <w:b/>
          <w:sz w:val="20"/>
          <w:szCs w:val="20"/>
          <w:u w:val="single"/>
        </w:rPr>
      </w:pPr>
    </w:p>
    <w:p w14:paraId="3B33DFCA" w14:textId="5708AC10" w:rsidR="005A37F2" w:rsidRDefault="0039533E" w:rsidP="005A37F2">
      <w:pPr>
        <w:pStyle w:val="ListParagraph"/>
        <w:numPr>
          <w:ilvl w:val="0"/>
          <w:numId w:val="13"/>
        </w:numPr>
        <w:jc w:val="both"/>
        <w:rPr>
          <w:rFonts w:ascii="AvenirNext LT Pro Regular" w:hAnsi="AvenirNext LT Pro Regular" w:cs="Tahoma"/>
          <w:sz w:val="20"/>
          <w:szCs w:val="20"/>
        </w:rPr>
      </w:pPr>
      <w:r>
        <w:rPr>
          <w:rFonts w:ascii="AvenirNext LT Pro Regular" w:hAnsi="AvenirNext LT Pro Regular" w:cs="Tahoma"/>
          <w:sz w:val="20"/>
          <w:szCs w:val="20"/>
        </w:rPr>
        <w:t>0</w:t>
      </w:r>
      <w:r w:rsidR="00D257D3">
        <w:rPr>
          <w:rFonts w:ascii="AvenirNext LT Pro Regular" w:hAnsi="AvenirNext LT Pro Regular" w:cs="Tahoma"/>
          <w:sz w:val="20"/>
          <w:szCs w:val="20"/>
        </w:rPr>
        <w:t xml:space="preserve">: </w:t>
      </w:r>
      <w:r w:rsidR="005A37F2">
        <w:rPr>
          <w:rFonts w:ascii="AvenirNext LT Pro Regular" w:hAnsi="AvenirNext LT Pro Regular" w:cs="Tahoma"/>
          <w:sz w:val="20"/>
          <w:szCs w:val="20"/>
        </w:rPr>
        <w:t>The number of recessions in 2023, even though one was widely expected by most economists.</w:t>
      </w:r>
    </w:p>
    <w:p w14:paraId="49566A38" w14:textId="1688D476" w:rsidR="00CE554E" w:rsidRDefault="0039533E" w:rsidP="005A37F2">
      <w:pPr>
        <w:pStyle w:val="ListParagraph"/>
        <w:numPr>
          <w:ilvl w:val="0"/>
          <w:numId w:val="13"/>
        </w:numPr>
        <w:jc w:val="both"/>
        <w:rPr>
          <w:rFonts w:ascii="AvenirNext LT Pro Regular" w:hAnsi="AvenirNext LT Pro Regular" w:cs="Tahoma"/>
          <w:sz w:val="20"/>
          <w:szCs w:val="20"/>
        </w:rPr>
      </w:pPr>
      <w:r>
        <w:rPr>
          <w:rFonts w:ascii="AvenirNext LT Pro Regular" w:hAnsi="AvenirNext LT Pro Regular" w:cs="Tahoma"/>
          <w:sz w:val="20"/>
          <w:szCs w:val="20"/>
        </w:rPr>
        <w:lastRenderedPageBreak/>
        <w:t>1</w:t>
      </w:r>
      <w:r w:rsidR="002D0267">
        <w:rPr>
          <w:rFonts w:ascii="AvenirNext LT Pro Regular" w:hAnsi="AvenirNext LT Pro Regular" w:cs="Tahoma"/>
          <w:sz w:val="20"/>
          <w:szCs w:val="20"/>
        </w:rPr>
        <w:t>: The number of rating agencies (out of three, Moody’s) that still has US debt rated as AAA.</w:t>
      </w:r>
    </w:p>
    <w:p w14:paraId="47613713" w14:textId="4B9C1717" w:rsidR="003754D7" w:rsidRDefault="00CE554E" w:rsidP="005A37F2">
      <w:pPr>
        <w:pStyle w:val="ListParagraph"/>
        <w:numPr>
          <w:ilvl w:val="0"/>
          <w:numId w:val="13"/>
        </w:numPr>
        <w:jc w:val="both"/>
        <w:rPr>
          <w:rFonts w:ascii="AvenirNext LT Pro Regular" w:hAnsi="AvenirNext LT Pro Regular" w:cs="Tahoma"/>
          <w:sz w:val="20"/>
          <w:szCs w:val="20"/>
        </w:rPr>
      </w:pPr>
      <w:r>
        <w:rPr>
          <w:rFonts w:ascii="AvenirNext LT Pro Regular" w:hAnsi="AvenirNext LT Pro Regular" w:cs="Tahoma"/>
          <w:sz w:val="20"/>
          <w:szCs w:val="20"/>
        </w:rPr>
        <w:t xml:space="preserve">22.2%: </w:t>
      </w:r>
      <w:r w:rsidR="003754D7">
        <w:rPr>
          <w:rFonts w:ascii="AvenirNext LT Pro Regular" w:hAnsi="AvenirNext LT Pro Regular" w:cs="Tahoma"/>
          <w:sz w:val="20"/>
          <w:szCs w:val="20"/>
        </w:rPr>
        <w:t>T</w:t>
      </w:r>
      <w:r>
        <w:rPr>
          <w:rFonts w:ascii="AvenirNext LT Pro Regular" w:hAnsi="AvenirNext LT Pro Regular" w:cs="Tahoma"/>
          <w:sz w:val="20"/>
          <w:szCs w:val="20"/>
        </w:rPr>
        <w:t xml:space="preserve">he return for the MSCI ACWI, representing global stocks, </w:t>
      </w:r>
      <w:r w:rsidR="003754D7">
        <w:rPr>
          <w:rFonts w:ascii="AvenirNext LT Pro Regular" w:hAnsi="AvenirNext LT Pro Regular" w:cs="Tahoma"/>
          <w:sz w:val="20"/>
          <w:szCs w:val="20"/>
        </w:rPr>
        <w:t xml:space="preserve">clearly </w:t>
      </w:r>
      <w:r>
        <w:rPr>
          <w:rFonts w:ascii="AvenirNext LT Pro Regular" w:hAnsi="AvenirNext LT Pro Regular" w:cs="Tahoma"/>
          <w:sz w:val="20"/>
          <w:szCs w:val="20"/>
        </w:rPr>
        <w:t>a strong year.</w:t>
      </w:r>
    </w:p>
    <w:p w14:paraId="2A3C49CF" w14:textId="77777777" w:rsidR="00103737" w:rsidRDefault="003754D7" w:rsidP="005A37F2">
      <w:pPr>
        <w:pStyle w:val="ListParagraph"/>
        <w:numPr>
          <w:ilvl w:val="0"/>
          <w:numId w:val="13"/>
        </w:numPr>
        <w:jc w:val="both"/>
        <w:rPr>
          <w:rFonts w:ascii="AvenirNext LT Pro Regular" w:hAnsi="AvenirNext LT Pro Regular" w:cs="Tahoma"/>
          <w:sz w:val="20"/>
          <w:szCs w:val="20"/>
        </w:rPr>
      </w:pPr>
      <w:r>
        <w:rPr>
          <w:rFonts w:ascii="AvenirNext LT Pro Regular" w:hAnsi="AvenirNext LT Pro Regular" w:cs="Tahoma"/>
          <w:sz w:val="20"/>
          <w:szCs w:val="20"/>
        </w:rPr>
        <w:t>26.3%: The gain of the S&amp;P 500</w:t>
      </w:r>
      <w:r w:rsidR="00103737">
        <w:rPr>
          <w:rFonts w:ascii="AvenirNext LT Pro Regular" w:hAnsi="AvenirNext LT Pro Regular" w:cs="Tahoma"/>
          <w:sz w:val="20"/>
          <w:szCs w:val="20"/>
        </w:rPr>
        <w:t>.  This return was driven by the Magnificent Seven, which jumped 76.3%, with the remaining stocks gaining 13.7%.</w:t>
      </w:r>
    </w:p>
    <w:p w14:paraId="59860F7D" w14:textId="54FC9C17" w:rsidR="001A5275" w:rsidRDefault="001A5275" w:rsidP="001A5275">
      <w:pPr>
        <w:pStyle w:val="ListParagraph"/>
        <w:numPr>
          <w:ilvl w:val="0"/>
          <w:numId w:val="13"/>
        </w:numPr>
        <w:jc w:val="both"/>
        <w:rPr>
          <w:rFonts w:ascii="AvenirNext LT Pro Regular" w:hAnsi="AvenirNext LT Pro Regular" w:cs="Tahoma"/>
          <w:sz w:val="20"/>
          <w:szCs w:val="20"/>
        </w:rPr>
      </w:pPr>
      <w:r>
        <w:rPr>
          <w:rFonts w:ascii="AvenirNext LT Pro Regular" w:hAnsi="AvenirNext LT Pro Regular" w:cs="Tahoma"/>
          <w:sz w:val="20"/>
          <w:szCs w:val="20"/>
        </w:rPr>
        <w:t>5.25%-5.5%: T</w:t>
      </w:r>
      <w:r w:rsidRPr="001A5275">
        <w:rPr>
          <w:rFonts w:ascii="AvenirNext LT Pro Regular" w:hAnsi="AvenirNext LT Pro Regular" w:cs="Tahoma"/>
          <w:sz w:val="20"/>
          <w:szCs w:val="20"/>
        </w:rPr>
        <w:t>he Fed’s policy rate reached in July as they worked to tame inflation, the highest level since 2001</w:t>
      </w:r>
      <w:r w:rsidR="008D2282">
        <w:rPr>
          <w:rFonts w:ascii="AvenirNext LT Pro Regular" w:hAnsi="AvenirNext LT Pro Regular" w:cs="Tahoma"/>
          <w:sz w:val="20"/>
          <w:szCs w:val="20"/>
        </w:rPr>
        <w:t xml:space="preserve">; the </w:t>
      </w:r>
      <w:r w:rsidRPr="001A5275">
        <w:rPr>
          <w:rFonts w:ascii="AvenirNext LT Pro Regular" w:hAnsi="AvenirNext LT Pro Regular" w:cs="Tahoma"/>
          <w:sz w:val="20"/>
          <w:szCs w:val="20"/>
        </w:rPr>
        <w:t xml:space="preserve">same level </w:t>
      </w:r>
      <w:r w:rsidR="008D2282">
        <w:rPr>
          <w:rFonts w:ascii="AvenirNext LT Pro Regular" w:hAnsi="AvenirNext LT Pro Regular" w:cs="Tahoma"/>
          <w:sz w:val="20"/>
          <w:szCs w:val="20"/>
        </w:rPr>
        <w:t xml:space="preserve">it was </w:t>
      </w:r>
      <w:r w:rsidRPr="001A5275">
        <w:rPr>
          <w:rFonts w:ascii="AvenirNext LT Pro Regular" w:hAnsi="AvenirNext LT Pro Regular" w:cs="Tahoma"/>
          <w:sz w:val="20"/>
          <w:szCs w:val="20"/>
        </w:rPr>
        <w:t>at year-end.</w:t>
      </w:r>
    </w:p>
    <w:p w14:paraId="5EE7AEA3" w14:textId="087D0BAF" w:rsidR="002260FC" w:rsidRPr="002260FC" w:rsidRDefault="002260FC" w:rsidP="002260FC">
      <w:pPr>
        <w:pStyle w:val="ListParagraph"/>
        <w:numPr>
          <w:ilvl w:val="0"/>
          <w:numId w:val="13"/>
        </w:numPr>
        <w:jc w:val="both"/>
        <w:rPr>
          <w:rFonts w:ascii="AvenirNext LT Pro Regular" w:hAnsi="AvenirNext LT Pro Regular" w:cs="Tahoma"/>
          <w:sz w:val="20"/>
          <w:szCs w:val="20"/>
        </w:rPr>
      </w:pPr>
      <w:r w:rsidRPr="002260FC">
        <w:rPr>
          <w:rFonts w:ascii="AvenirNext LT Pro Regular" w:hAnsi="AvenirNext LT Pro Regular" w:cs="Tahoma"/>
          <w:sz w:val="20"/>
          <w:szCs w:val="20"/>
        </w:rPr>
        <w:t>3.1%</w:t>
      </w:r>
      <w:r>
        <w:rPr>
          <w:rFonts w:ascii="AvenirNext LT Pro Regular" w:hAnsi="AvenirNext LT Pro Regular" w:cs="Tahoma"/>
          <w:sz w:val="20"/>
          <w:szCs w:val="20"/>
        </w:rPr>
        <w:t>: T</w:t>
      </w:r>
      <w:r w:rsidRPr="002260FC">
        <w:rPr>
          <w:rFonts w:ascii="AvenirNext LT Pro Regular" w:hAnsi="AvenirNext LT Pro Regular" w:cs="Tahoma"/>
          <w:sz w:val="20"/>
          <w:szCs w:val="20"/>
        </w:rPr>
        <w:t xml:space="preserve">he November 2023 headline CPI figure, having fallen </w:t>
      </w:r>
      <w:r w:rsidR="00971707">
        <w:rPr>
          <w:rFonts w:ascii="AvenirNext LT Pro Regular" w:hAnsi="AvenirNext LT Pro Regular" w:cs="Tahoma"/>
          <w:sz w:val="20"/>
          <w:szCs w:val="20"/>
        </w:rPr>
        <w:t xml:space="preserve">from the </w:t>
      </w:r>
      <w:r w:rsidRPr="002260FC">
        <w:rPr>
          <w:rFonts w:ascii="AvenirNext LT Pro Regular" w:hAnsi="AvenirNext LT Pro Regular" w:cs="Tahoma"/>
          <w:sz w:val="20"/>
          <w:szCs w:val="20"/>
        </w:rPr>
        <w:t xml:space="preserve">9% </w:t>
      </w:r>
      <w:r w:rsidR="00971707">
        <w:rPr>
          <w:rFonts w:ascii="AvenirNext LT Pro Regular" w:hAnsi="AvenirNext LT Pro Regular" w:cs="Tahoma"/>
          <w:sz w:val="20"/>
          <w:szCs w:val="20"/>
        </w:rPr>
        <w:t xml:space="preserve">level it hit </w:t>
      </w:r>
      <w:r w:rsidRPr="002260FC">
        <w:rPr>
          <w:rFonts w:ascii="AvenirNext LT Pro Regular" w:hAnsi="AvenirNext LT Pro Regular" w:cs="Tahoma"/>
          <w:sz w:val="20"/>
          <w:szCs w:val="20"/>
        </w:rPr>
        <w:t>during the summer of 2022</w:t>
      </w:r>
      <w:r w:rsidR="00971707">
        <w:rPr>
          <w:rFonts w:ascii="AvenirNext LT Pro Regular" w:hAnsi="AvenirNext LT Pro Regular" w:cs="Tahoma"/>
          <w:sz w:val="20"/>
          <w:szCs w:val="20"/>
        </w:rPr>
        <w:t>;</w:t>
      </w:r>
      <w:r w:rsidRPr="002260FC">
        <w:rPr>
          <w:rFonts w:ascii="AvenirNext LT Pro Regular" w:hAnsi="AvenirNext LT Pro Regular" w:cs="Tahoma"/>
          <w:sz w:val="20"/>
          <w:szCs w:val="20"/>
        </w:rPr>
        <w:t xml:space="preserve"> still above the Fed’s 2% target.</w:t>
      </w:r>
    </w:p>
    <w:p w14:paraId="1A08F44E" w14:textId="7A56ED21" w:rsidR="001A5275" w:rsidRPr="001A5275" w:rsidRDefault="00D922AA" w:rsidP="001A5275">
      <w:pPr>
        <w:pStyle w:val="ListParagraph"/>
        <w:numPr>
          <w:ilvl w:val="0"/>
          <w:numId w:val="13"/>
        </w:numPr>
        <w:jc w:val="both"/>
        <w:rPr>
          <w:rFonts w:ascii="AvenirNext LT Pro Regular" w:hAnsi="AvenirNext LT Pro Regular" w:cs="Tahoma"/>
          <w:sz w:val="20"/>
          <w:szCs w:val="20"/>
        </w:rPr>
      </w:pPr>
      <w:r>
        <w:rPr>
          <w:rFonts w:ascii="AvenirNext LT Pro Regular" w:hAnsi="AvenirNext LT Pro Regular" w:cs="Tahoma"/>
          <w:sz w:val="20"/>
          <w:szCs w:val="20"/>
        </w:rPr>
        <w:t>4.98%: T</w:t>
      </w:r>
      <w:r w:rsidRPr="00D922AA">
        <w:rPr>
          <w:rFonts w:ascii="AvenirNext LT Pro Regular" w:hAnsi="AvenirNext LT Pro Regular" w:cs="Tahoma"/>
          <w:sz w:val="20"/>
          <w:szCs w:val="20"/>
        </w:rPr>
        <w:t xml:space="preserve">he </w:t>
      </w:r>
      <w:r>
        <w:rPr>
          <w:rFonts w:ascii="AvenirNext LT Pro Regular" w:hAnsi="AvenirNext LT Pro Regular" w:cs="Tahoma"/>
          <w:sz w:val="20"/>
          <w:szCs w:val="20"/>
        </w:rPr>
        <w:t xml:space="preserve">level the </w:t>
      </w:r>
      <w:r w:rsidRPr="00D922AA">
        <w:rPr>
          <w:rFonts w:ascii="AvenirNext LT Pro Regular" w:hAnsi="AvenirNext LT Pro Regular" w:cs="Tahoma"/>
          <w:sz w:val="20"/>
          <w:szCs w:val="20"/>
        </w:rPr>
        <w:t xml:space="preserve">US 10 Year Treasury closed at on 10/19/2023.  The last time it ended that high was </w:t>
      </w:r>
      <w:proofErr w:type="gramStart"/>
      <w:r w:rsidRPr="00D922AA">
        <w:rPr>
          <w:rFonts w:ascii="AvenirNext LT Pro Regular" w:hAnsi="AvenirNext LT Pro Regular" w:cs="Tahoma"/>
          <w:sz w:val="20"/>
          <w:szCs w:val="20"/>
        </w:rPr>
        <w:t>7/19/2007, when</w:t>
      </w:r>
      <w:proofErr w:type="gramEnd"/>
      <w:r w:rsidRPr="00D922AA">
        <w:rPr>
          <w:rFonts w:ascii="AvenirNext LT Pro Regular" w:hAnsi="AvenirNext LT Pro Regular" w:cs="Tahoma"/>
          <w:sz w:val="20"/>
          <w:szCs w:val="20"/>
        </w:rPr>
        <w:t xml:space="preserve"> it closed at 5.04%.  10 Year Treasuries rallied at the end of the year, closing at 3.88%.</w:t>
      </w:r>
    </w:p>
    <w:p w14:paraId="0EC979F0" w14:textId="6503FB0A" w:rsidR="00F47C2E" w:rsidRDefault="00F47C2E" w:rsidP="00FE4C36">
      <w:pPr>
        <w:jc w:val="both"/>
        <w:rPr>
          <w:rFonts w:ascii="AvenirNext LT Pro Regular" w:hAnsi="AvenirNext LT Pro Regular" w:cs="Tahoma"/>
          <w:sz w:val="20"/>
          <w:szCs w:val="20"/>
        </w:rPr>
      </w:pPr>
    </w:p>
    <w:p w14:paraId="43429AA6" w14:textId="0289D674" w:rsidR="009337DE" w:rsidRDefault="00797728" w:rsidP="00FE4C36">
      <w:pPr>
        <w:jc w:val="both"/>
        <w:rPr>
          <w:rFonts w:ascii="AvenirNext LT Pro Regular" w:hAnsi="AvenirNext LT Pro Regular" w:cs="Tahoma"/>
          <w:b/>
          <w:sz w:val="20"/>
          <w:szCs w:val="20"/>
          <w:u w:val="single"/>
        </w:rPr>
      </w:pPr>
      <w:r>
        <w:rPr>
          <w:rFonts w:ascii="AvenirNext LT Pro Regular" w:hAnsi="AvenirNext LT Pro Regular" w:cs="Tahoma"/>
          <w:b/>
          <w:sz w:val="20"/>
          <w:szCs w:val="20"/>
          <w:u w:val="single"/>
        </w:rPr>
        <w:t>Forecas</w:t>
      </w:r>
      <w:r w:rsidR="00AB0812">
        <w:rPr>
          <w:rFonts w:ascii="AvenirNext LT Pro Regular" w:hAnsi="AvenirNext LT Pro Regular" w:cs="Tahoma"/>
          <w:b/>
          <w:sz w:val="20"/>
          <w:szCs w:val="20"/>
          <w:u w:val="single"/>
        </w:rPr>
        <w:t>ters don’t have a working crysta</w:t>
      </w:r>
      <w:r w:rsidR="00610996">
        <w:rPr>
          <w:rFonts w:ascii="AvenirNext LT Pro Regular" w:hAnsi="AvenirNext LT Pro Regular" w:cs="Tahoma"/>
          <w:b/>
          <w:sz w:val="20"/>
          <w:szCs w:val="20"/>
          <w:u w:val="single"/>
        </w:rPr>
        <w:t>l ball</w:t>
      </w:r>
    </w:p>
    <w:p w14:paraId="4EC62DCD" w14:textId="77777777" w:rsidR="009337DE" w:rsidRDefault="009337DE" w:rsidP="00FE4C36">
      <w:pPr>
        <w:jc w:val="both"/>
        <w:rPr>
          <w:rFonts w:ascii="AvenirNext LT Pro Regular" w:hAnsi="AvenirNext LT Pro Regular" w:cs="Tahoma"/>
          <w:b/>
          <w:sz w:val="20"/>
          <w:szCs w:val="20"/>
          <w:u w:val="single"/>
        </w:rPr>
      </w:pPr>
    </w:p>
    <w:p w14:paraId="26377DE6" w14:textId="77777777" w:rsidR="008F52EB" w:rsidRDefault="000240D4" w:rsidP="00C03D63">
      <w:pPr>
        <w:jc w:val="both"/>
        <w:rPr>
          <w:rFonts w:ascii="AvenirNext LT Pro Regular" w:hAnsi="AvenirNext LT Pro Regular" w:cs="Tahoma"/>
          <w:sz w:val="20"/>
          <w:szCs w:val="20"/>
        </w:rPr>
      </w:pPr>
      <w:r>
        <w:rPr>
          <w:rFonts w:ascii="AvenirNext LT Pro Regular" w:hAnsi="AvenirNext LT Pro Regular" w:cs="Tahoma"/>
          <w:sz w:val="20"/>
          <w:szCs w:val="20"/>
        </w:rPr>
        <w:t xml:space="preserve">At the end of each </w:t>
      </w:r>
      <w:r w:rsidR="002A4068">
        <w:rPr>
          <w:rFonts w:ascii="AvenirNext LT Pro Regular" w:hAnsi="AvenirNext LT Pro Regular" w:cs="Tahoma"/>
          <w:sz w:val="20"/>
          <w:szCs w:val="20"/>
        </w:rPr>
        <w:t>year,</w:t>
      </w:r>
      <w:r>
        <w:rPr>
          <w:rFonts w:ascii="AvenirNext LT Pro Regular" w:hAnsi="AvenirNext LT Pro Regular" w:cs="Tahoma"/>
          <w:sz w:val="20"/>
          <w:szCs w:val="20"/>
        </w:rPr>
        <w:t xml:space="preserve"> it is common for economists and market strategists to make their predictions for the upcoming year.  </w:t>
      </w:r>
      <w:r w:rsidR="002A4068">
        <w:rPr>
          <w:rFonts w:ascii="AvenirNext LT Pro Regular" w:hAnsi="AvenirNext LT Pro Regular" w:cs="Tahoma"/>
          <w:sz w:val="20"/>
          <w:szCs w:val="20"/>
        </w:rPr>
        <w:t xml:space="preserve">While we are confident that the people making these predictions are indeed intelligent people with good intentions, it doesn’t change the fact that </w:t>
      </w:r>
      <w:r w:rsidR="00AD710E">
        <w:rPr>
          <w:rFonts w:ascii="AvenirNext LT Pro Regular" w:hAnsi="AvenirNext LT Pro Regular" w:cs="Tahoma"/>
          <w:sz w:val="20"/>
          <w:szCs w:val="20"/>
        </w:rPr>
        <w:t xml:space="preserve">their predictions are often very wrong.  </w:t>
      </w:r>
      <w:r w:rsidR="00104843">
        <w:rPr>
          <w:rFonts w:ascii="AvenirNext LT Pro Regular" w:hAnsi="AvenirNext LT Pro Regular" w:cs="Tahoma"/>
          <w:sz w:val="20"/>
          <w:szCs w:val="20"/>
        </w:rPr>
        <w:t xml:space="preserve">Specifically, over the last five years the forecasts have ranged from being </w:t>
      </w:r>
      <w:r w:rsidR="00B05119">
        <w:rPr>
          <w:rFonts w:ascii="AvenirNext LT Pro Regular" w:hAnsi="AvenirNext LT Pro Regular" w:cs="Tahoma"/>
          <w:sz w:val="20"/>
          <w:szCs w:val="20"/>
        </w:rPr>
        <w:t xml:space="preserve">26% too low to 21% too high.  </w:t>
      </w:r>
      <w:r w:rsidR="008F52EB" w:rsidRPr="008F52EB">
        <w:rPr>
          <w:rFonts w:ascii="AvenirNext LT Pro Regular" w:hAnsi="AvenirNext LT Pro Regular" w:cs="Tahoma"/>
          <w:sz w:val="20"/>
          <w:szCs w:val="20"/>
        </w:rPr>
        <w:t>On average, the median annual estimate was off by about 18%, nearly double the index’s long-term average annual return.</w:t>
      </w:r>
    </w:p>
    <w:p w14:paraId="5EAA4C18" w14:textId="77777777" w:rsidR="00251C7D" w:rsidRDefault="00251C7D" w:rsidP="00CC6B2C">
      <w:pPr>
        <w:jc w:val="both"/>
        <w:rPr>
          <w:rFonts w:ascii="AvenirNext LT Pro Regular" w:hAnsi="AvenirNext LT Pro Regular" w:cs="Tahoma"/>
          <w:sz w:val="20"/>
          <w:szCs w:val="20"/>
        </w:rPr>
      </w:pPr>
    </w:p>
    <w:p w14:paraId="45155DD7" w14:textId="4C5E748E" w:rsidR="00CC6B2C" w:rsidRDefault="00CC6B2C" w:rsidP="00CC6B2C">
      <w:pPr>
        <w:jc w:val="both"/>
        <w:rPr>
          <w:rFonts w:ascii="AvenirNext LT Pro Regular" w:hAnsi="AvenirNext LT Pro Regular" w:cs="Tahoma"/>
          <w:sz w:val="20"/>
          <w:szCs w:val="20"/>
        </w:rPr>
      </w:pPr>
      <w:r>
        <w:rPr>
          <w:rFonts w:ascii="AvenirNext LT Pro Regular" w:hAnsi="AvenirNext LT Pro Regular" w:cs="Tahoma"/>
          <w:sz w:val="20"/>
          <w:szCs w:val="20"/>
        </w:rPr>
        <w:t>Exhibit 1</w:t>
      </w:r>
    </w:p>
    <w:tbl>
      <w:tblPr>
        <w:tblStyle w:val="TableGrid"/>
        <w:tblW w:w="4765" w:type="dxa"/>
        <w:tblLook w:val="04A0" w:firstRow="1" w:lastRow="0" w:firstColumn="1" w:lastColumn="0" w:noHBand="0" w:noVBand="1"/>
      </w:tblPr>
      <w:tblGrid>
        <w:gridCol w:w="1975"/>
        <w:gridCol w:w="1410"/>
        <w:gridCol w:w="1380"/>
      </w:tblGrid>
      <w:tr w:rsidR="00EB4F79" w:rsidRPr="00251C7D" w14:paraId="67006629" w14:textId="77777777" w:rsidTr="00AB0E30">
        <w:tc>
          <w:tcPr>
            <w:tcW w:w="1975" w:type="dxa"/>
          </w:tcPr>
          <w:p w14:paraId="43B88AA1" w14:textId="23038A54" w:rsidR="00EB4F79" w:rsidRPr="00251C7D" w:rsidRDefault="00EB4F79" w:rsidP="00251C7D">
            <w:pPr>
              <w:jc w:val="center"/>
              <w:rPr>
                <w:rFonts w:ascii="AvenirNext LT Pro Regular" w:hAnsi="AvenirNext LT Pro Regular" w:cs="Tahoma"/>
                <w:b/>
                <w:bCs/>
                <w:sz w:val="20"/>
                <w:szCs w:val="20"/>
              </w:rPr>
            </w:pPr>
            <w:r w:rsidRPr="00251C7D">
              <w:rPr>
                <w:rFonts w:ascii="AvenirNext LT Pro Regular" w:hAnsi="AvenirNext LT Pro Regular" w:cs="Tahoma"/>
                <w:b/>
                <w:bCs/>
                <w:sz w:val="20"/>
                <w:szCs w:val="20"/>
              </w:rPr>
              <w:t>Firms</w:t>
            </w:r>
          </w:p>
        </w:tc>
        <w:tc>
          <w:tcPr>
            <w:tcW w:w="1410" w:type="dxa"/>
          </w:tcPr>
          <w:p w14:paraId="19AB0999" w14:textId="62504F3B" w:rsidR="00EB4F79" w:rsidRPr="00251C7D" w:rsidRDefault="00AD1F15" w:rsidP="00251C7D">
            <w:pPr>
              <w:jc w:val="center"/>
              <w:rPr>
                <w:rFonts w:ascii="AvenirNext LT Pro Regular" w:hAnsi="AvenirNext LT Pro Regular" w:cs="Tahoma"/>
                <w:b/>
                <w:bCs/>
                <w:sz w:val="20"/>
                <w:szCs w:val="20"/>
              </w:rPr>
            </w:pPr>
            <w:r w:rsidRPr="00251C7D">
              <w:rPr>
                <w:rFonts w:ascii="AvenirNext LT Pro Regular" w:hAnsi="AvenirNext LT Pro Regular" w:cs="Tahoma"/>
                <w:b/>
                <w:bCs/>
                <w:sz w:val="20"/>
                <w:szCs w:val="20"/>
              </w:rPr>
              <w:t>2023 S&amp;P 500 Forecast</w:t>
            </w:r>
          </w:p>
        </w:tc>
        <w:tc>
          <w:tcPr>
            <w:tcW w:w="1380" w:type="dxa"/>
          </w:tcPr>
          <w:p w14:paraId="519BF485" w14:textId="247CF864" w:rsidR="00EB4F79" w:rsidRPr="00251C7D" w:rsidRDefault="00251C7D" w:rsidP="00251C7D">
            <w:pPr>
              <w:jc w:val="center"/>
              <w:rPr>
                <w:rFonts w:ascii="AvenirNext LT Pro Regular" w:hAnsi="AvenirNext LT Pro Regular" w:cs="Tahoma"/>
                <w:b/>
                <w:bCs/>
                <w:sz w:val="20"/>
                <w:szCs w:val="20"/>
              </w:rPr>
            </w:pPr>
            <w:r w:rsidRPr="00251C7D">
              <w:rPr>
                <w:rFonts w:ascii="AvenirNext LT Pro Regular" w:hAnsi="AvenirNext LT Pro Regular" w:cs="Tahoma"/>
                <w:b/>
                <w:bCs/>
                <w:sz w:val="20"/>
                <w:szCs w:val="20"/>
              </w:rPr>
              <w:t>% Difference from Actual</w:t>
            </w:r>
          </w:p>
        </w:tc>
      </w:tr>
      <w:tr w:rsidR="00EB4F79" w14:paraId="29ED65D6" w14:textId="77777777" w:rsidTr="00AB0E30">
        <w:tc>
          <w:tcPr>
            <w:tcW w:w="1975" w:type="dxa"/>
          </w:tcPr>
          <w:p w14:paraId="155C168D" w14:textId="593F5BA0" w:rsidR="00AD1F15" w:rsidRDefault="00AD1F15" w:rsidP="00C03D63">
            <w:pPr>
              <w:jc w:val="both"/>
              <w:rPr>
                <w:rFonts w:ascii="AvenirNext LT Pro Regular" w:hAnsi="AvenirNext LT Pro Regular" w:cs="Tahoma"/>
                <w:sz w:val="20"/>
                <w:szCs w:val="20"/>
              </w:rPr>
            </w:pPr>
            <w:r>
              <w:rPr>
                <w:rFonts w:ascii="AvenirNext LT Pro Regular" w:hAnsi="AvenirNext LT Pro Regular" w:cs="Tahoma"/>
                <w:sz w:val="20"/>
                <w:szCs w:val="20"/>
              </w:rPr>
              <w:t>Oppenheimer</w:t>
            </w:r>
          </w:p>
        </w:tc>
        <w:tc>
          <w:tcPr>
            <w:tcW w:w="1410" w:type="dxa"/>
          </w:tcPr>
          <w:p w14:paraId="08D9E908" w14:textId="5158B54A" w:rsidR="00EB4F79" w:rsidRDefault="00251C7D" w:rsidP="00251C7D">
            <w:pPr>
              <w:jc w:val="center"/>
              <w:rPr>
                <w:rFonts w:ascii="AvenirNext LT Pro Regular" w:hAnsi="AvenirNext LT Pro Regular" w:cs="Tahoma"/>
                <w:sz w:val="20"/>
                <w:szCs w:val="20"/>
              </w:rPr>
            </w:pPr>
            <w:r>
              <w:rPr>
                <w:rFonts w:ascii="AvenirNext LT Pro Regular" w:hAnsi="AvenirNext LT Pro Regular" w:cs="Tahoma"/>
                <w:sz w:val="20"/>
                <w:szCs w:val="20"/>
              </w:rPr>
              <w:t>4,400</w:t>
            </w:r>
          </w:p>
        </w:tc>
        <w:tc>
          <w:tcPr>
            <w:tcW w:w="1380" w:type="dxa"/>
          </w:tcPr>
          <w:p w14:paraId="2ACD8829" w14:textId="2D16070C" w:rsidR="00EB4F79" w:rsidRDefault="00251C7D" w:rsidP="00251C7D">
            <w:pPr>
              <w:jc w:val="center"/>
              <w:rPr>
                <w:rFonts w:ascii="AvenirNext LT Pro Regular" w:hAnsi="AvenirNext LT Pro Regular" w:cs="Tahoma"/>
                <w:sz w:val="20"/>
                <w:szCs w:val="20"/>
              </w:rPr>
            </w:pPr>
            <w:r>
              <w:rPr>
                <w:rFonts w:ascii="AvenirNext LT Pro Regular" w:hAnsi="AvenirNext LT Pro Regular" w:cs="Tahoma"/>
                <w:sz w:val="20"/>
                <w:szCs w:val="20"/>
              </w:rPr>
              <w:t>-8%</w:t>
            </w:r>
          </w:p>
        </w:tc>
      </w:tr>
      <w:tr w:rsidR="00EB4F79" w14:paraId="6570B9C1" w14:textId="77777777" w:rsidTr="00AB0E30">
        <w:tc>
          <w:tcPr>
            <w:tcW w:w="1975" w:type="dxa"/>
          </w:tcPr>
          <w:p w14:paraId="13688D86" w14:textId="111983A6" w:rsidR="00EB4F79" w:rsidRDefault="00AD1F15" w:rsidP="00C03D63">
            <w:pPr>
              <w:jc w:val="both"/>
              <w:rPr>
                <w:rFonts w:ascii="AvenirNext LT Pro Regular" w:hAnsi="AvenirNext LT Pro Regular" w:cs="Tahoma"/>
                <w:sz w:val="20"/>
                <w:szCs w:val="20"/>
              </w:rPr>
            </w:pPr>
            <w:r>
              <w:rPr>
                <w:rFonts w:ascii="AvenirNext LT Pro Regular" w:hAnsi="AvenirNext LT Pro Regular" w:cs="Tahoma"/>
                <w:sz w:val="20"/>
                <w:szCs w:val="20"/>
              </w:rPr>
              <w:t>Credit Suisse</w:t>
            </w:r>
          </w:p>
        </w:tc>
        <w:tc>
          <w:tcPr>
            <w:tcW w:w="1410" w:type="dxa"/>
          </w:tcPr>
          <w:p w14:paraId="2D0A0BCC" w14:textId="622F1385" w:rsidR="00EB4F79" w:rsidRDefault="00251C7D" w:rsidP="00251C7D">
            <w:pPr>
              <w:jc w:val="center"/>
              <w:rPr>
                <w:rFonts w:ascii="AvenirNext LT Pro Regular" w:hAnsi="AvenirNext LT Pro Regular" w:cs="Tahoma"/>
                <w:sz w:val="20"/>
                <w:szCs w:val="20"/>
              </w:rPr>
            </w:pPr>
            <w:r>
              <w:rPr>
                <w:rFonts w:ascii="AvenirNext LT Pro Regular" w:hAnsi="AvenirNext LT Pro Regular" w:cs="Tahoma"/>
                <w:sz w:val="20"/>
                <w:szCs w:val="20"/>
              </w:rPr>
              <w:t>4,.050</w:t>
            </w:r>
          </w:p>
        </w:tc>
        <w:tc>
          <w:tcPr>
            <w:tcW w:w="1380" w:type="dxa"/>
          </w:tcPr>
          <w:p w14:paraId="75735AD6" w14:textId="31DF50F9" w:rsidR="00EB4F79" w:rsidRDefault="00251C7D" w:rsidP="00251C7D">
            <w:pPr>
              <w:jc w:val="center"/>
              <w:rPr>
                <w:rFonts w:ascii="AvenirNext LT Pro Regular" w:hAnsi="AvenirNext LT Pro Regular" w:cs="Tahoma"/>
                <w:sz w:val="20"/>
                <w:szCs w:val="20"/>
              </w:rPr>
            </w:pPr>
            <w:r>
              <w:rPr>
                <w:rFonts w:ascii="AvenirNext LT Pro Regular" w:hAnsi="AvenirNext LT Pro Regular" w:cs="Tahoma"/>
                <w:sz w:val="20"/>
                <w:szCs w:val="20"/>
              </w:rPr>
              <w:t>-18%</w:t>
            </w:r>
          </w:p>
        </w:tc>
      </w:tr>
      <w:tr w:rsidR="00EB4F79" w14:paraId="75548B49" w14:textId="77777777" w:rsidTr="00AB0E30">
        <w:tc>
          <w:tcPr>
            <w:tcW w:w="1975" w:type="dxa"/>
          </w:tcPr>
          <w:p w14:paraId="3092FE40" w14:textId="6752A049" w:rsidR="00EB4F79" w:rsidRDefault="00AD1F15" w:rsidP="00C03D63">
            <w:pPr>
              <w:jc w:val="both"/>
              <w:rPr>
                <w:rFonts w:ascii="AvenirNext LT Pro Regular" w:hAnsi="AvenirNext LT Pro Regular" w:cs="Tahoma"/>
                <w:sz w:val="20"/>
                <w:szCs w:val="20"/>
              </w:rPr>
            </w:pPr>
            <w:r>
              <w:rPr>
                <w:rFonts w:ascii="AvenirNext LT Pro Regular" w:hAnsi="AvenirNext LT Pro Regular" w:cs="Tahoma"/>
                <w:sz w:val="20"/>
                <w:szCs w:val="20"/>
              </w:rPr>
              <w:t>JP Morgan</w:t>
            </w:r>
          </w:p>
        </w:tc>
        <w:tc>
          <w:tcPr>
            <w:tcW w:w="1410" w:type="dxa"/>
          </w:tcPr>
          <w:p w14:paraId="1230AEA0" w14:textId="58ED7291" w:rsidR="00EB4F79" w:rsidRDefault="00251C7D" w:rsidP="00251C7D">
            <w:pPr>
              <w:jc w:val="center"/>
              <w:rPr>
                <w:rFonts w:ascii="AvenirNext LT Pro Regular" w:hAnsi="AvenirNext LT Pro Regular" w:cs="Tahoma"/>
                <w:sz w:val="20"/>
                <w:szCs w:val="20"/>
              </w:rPr>
            </w:pPr>
            <w:r>
              <w:rPr>
                <w:rFonts w:ascii="AvenirNext LT Pro Regular" w:hAnsi="AvenirNext LT Pro Regular" w:cs="Tahoma"/>
                <w:sz w:val="20"/>
                <w:szCs w:val="20"/>
              </w:rPr>
              <w:t>4,200</w:t>
            </w:r>
          </w:p>
        </w:tc>
        <w:tc>
          <w:tcPr>
            <w:tcW w:w="1380" w:type="dxa"/>
          </w:tcPr>
          <w:p w14:paraId="70A7EDA3" w14:textId="50851C31" w:rsidR="00EB4F79" w:rsidRDefault="00251C7D" w:rsidP="00251C7D">
            <w:pPr>
              <w:jc w:val="center"/>
              <w:rPr>
                <w:rFonts w:ascii="AvenirNext LT Pro Regular" w:hAnsi="AvenirNext LT Pro Regular" w:cs="Tahoma"/>
                <w:sz w:val="20"/>
                <w:szCs w:val="20"/>
              </w:rPr>
            </w:pPr>
            <w:r>
              <w:rPr>
                <w:rFonts w:ascii="AvenirNext LT Pro Regular" w:hAnsi="AvenirNext LT Pro Regular" w:cs="Tahoma"/>
                <w:sz w:val="20"/>
                <w:szCs w:val="20"/>
              </w:rPr>
              <w:t>-14%</w:t>
            </w:r>
          </w:p>
        </w:tc>
      </w:tr>
      <w:tr w:rsidR="00EB4F79" w14:paraId="146831EF" w14:textId="77777777" w:rsidTr="00AB0E30">
        <w:tc>
          <w:tcPr>
            <w:tcW w:w="1975" w:type="dxa"/>
          </w:tcPr>
          <w:p w14:paraId="47706023" w14:textId="6B9016E1" w:rsidR="00EB4F79" w:rsidRDefault="00AD1F15" w:rsidP="00C03D63">
            <w:pPr>
              <w:jc w:val="both"/>
              <w:rPr>
                <w:rFonts w:ascii="AvenirNext LT Pro Regular" w:hAnsi="AvenirNext LT Pro Regular" w:cs="Tahoma"/>
                <w:sz w:val="20"/>
                <w:szCs w:val="20"/>
              </w:rPr>
            </w:pPr>
            <w:r>
              <w:rPr>
                <w:rFonts w:ascii="AvenirNext LT Pro Regular" w:hAnsi="AvenirNext LT Pro Regular" w:cs="Tahoma"/>
                <w:sz w:val="20"/>
                <w:szCs w:val="20"/>
              </w:rPr>
              <w:t>Bank of America</w:t>
            </w:r>
          </w:p>
        </w:tc>
        <w:tc>
          <w:tcPr>
            <w:tcW w:w="1410" w:type="dxa"/>
          </w:tcPr>
          <w:p w14:paraId="3D24F8DB" w14:textId="172E6611" w:rsidR="00EB4F79" w:rsidRDefault="00251C7D" w:rsidP="00251C7D">
            <w:pPr>
              <w:jc w:val="center"/>
              <w:rPr>
                <w:rFonts w:ascii="AvenirNext LT Pro Regular" w:hAnsi="AvenirNext LT Pro Regular" w:cs="Tahoma"/>
                <w:sz w:val="20"/>
                <w:szCs w:val="20"/>
              </w:rPr>
            </w:pPr>
            <w:r>
              <w:rPr>
                <w:rFonts w:ascii="AvenirNext LT Pro Regular" w:hAnsi="AvenirNext LT Pro Regular" w:cs="Tahoma"/>
                <w:sz w:val="20"/>
                <w:szCs w:val="20"/>
              </w:rPr>
              <w:t>4,000</w:t>
            </w:r>
          </w:p>
        </w:tc>
        <w:tc>
          <w:tcPr>
            <w:tcW w:w="1380" w:type="dxa"/>
          </w:tcPr>
          <w:p w14:paraId="4E6BB0BD" w14:textId="62ADDDF1" w:rsidR="00EB4F79" w:rsidRDefault="00251C7D" w:rsidP="00251C7D">
            <w:pPr>
              <w:jc w:val="center"/>
              <w:rPr>
                <w:rFonts w:ascii="AvenirNext LT Pro Regular" w:hAnsi="AvenirNext LT Pro Regular" w:cs="Tahoma"/>
                <w:sz w:val="20"/>
                <w:szCs w:val="20"/>
              </w:rPr>
            </w:pPr>
            <w:r>
              <w:rPr>
                <w:rFonts w:ascii="AvenirNext LT Pro Regular" w:hAnsi="AvenirNext LT Pro Regular" w:cs="Tahoma"/>
                <w:sz w:val="20"/>
                <w:szCs w:val="20"/>
              </w:rPr>
              <w:t>-19%</w:t>
            </w:r>
          </w:p>
        </w:tc>
      </w:tr>
      <w:tr w:rsidR="00EB4F79" w14:paraId="647E8E99" w14:textId="77777777" w:rsidTr="00AB0E30">
        <w:tc>
          <w:tcPr>
            <w:tcW w:w="1975" w:type="dxa"/>
          </w:tcPr>
          <w:p w14:paraId="7C50472E" w14:textId="6DE3D49A" w:rsidR="00EB4F79" w:rsidRDefault="00AD1F15" w:rsidP="00C03D63">
            <w:pPr>
              <w:jc w:val="both"/>
              <w:rPr>
                <w:rFonts w:ascii="AvenirNext LT Pro Regular" w:hAnsi="AvenirNext LT Pro Regular" w:cs="Tahoma"/>
                <w:sz w:val="20"/>
                <w:szCs w:val="20"/>
              </w:rPr>
            </w:pPr>
            <w:r>
              <w:rPr>
                <w:rFonts w:ascii="AvenirNext LT Pro Regular" w:hAnsi="AvenirNext LT Pro Regular" w:cs="Tahoma"/>
                <w:sz w:val="20"/>
                <w:szCs w:val="20"/>
              </w:rPr>
              <w:t>Goldman Sachs</w:t>
            </w:r>
          </w:p>
        </w:tc>
        <w:tc>
          <w:tcPr>
            <w:tcW w:w="1410" w:type="dxa"/>
          </w:tcPr>
          <w:p w14:paraId="2EC7BA1B" w14:textId="743862AC" w:rsidR="00EB4F79" w:rsidRDefault="00251C7D" w:rsidP="00251C7D">
            <w:pPr>
              <w:jc w:val="center"/>
              <w:rPr>
                <w:rFonts w:ascii="AvenirNext LT Pro Regular" w:hAnsi="AvenirNext LT Pro Regular" w:cs="Tahoma"/>
                <w:sz w:val="20"/>
                <w:szCs w:val="20"/>
              </w:rPr>
            </w:pPr>
            <w:r>
              <w:rPr>
                <w:rFonts w:ascii="AvenirNext LT Pro Regular" w:hAnsi="AvenirNext LT Pro Regular" w:cs="Tahoma"/>
                <w:sz w:val="20"/>
                <w:szCs w:val="20"/>
              </w:rPr>
              <w:t>4,000</w:t>
            </w:r>
          </w:p>
        </w:tc>
        <w:tc>
          <w:tcPr>
            <w:tcW w:w="1380" w:type="dxa"/>
          </w:tcPr>
          <w:p w14:paraId="3F3B642B" w14:textId="1F52F9FB" w:rsidR="00EB4F79" w:rsidRDefault="00251C7D" w:rsidP="00251C7D">
            <w:pPr>
              <w:jc w:val="center"/>
              <w:rPr>
                <w:rFonts w:ascii="AvenirNext LT Pro Regular" w:hAnsi="AvenirNext LT Pro Regular" w:cs="Tahoma"/>
                <w:sz w:val="20"/>
                <w:szCs w:val="20"/>
              </w:rPr>
            </w:pPr>
            <w:r>
              <w:rPr>
                <w:rFonts w:ascii="AvenirNext LT Pro Regular" w:hAnsi="AvenirNext LT Pro Regular" w:cs="Tahoma"/>
                <w:sz w:val="20"/>
                <w:szCs w:val="20"/>
              </w:rPr>
              <w:t>-19%</w:t>
            </w:r>
          </w:p>
        </w:tc>
      </w:tr>
      <w:tr w:rsidR="00EB4F79" w14:paraId="043FAE04" w14:textId="77777777" w:rsidTr="00AB0E30">
        <w:tc>
          <w:tcPr>
            <w:tcW w:w="1975" w:type="dxa"/>
          </w:tcPr>
          <w:p w14:paraId="663180A3" w14:textId="5807A62C" w:rsidR="00EB4F79" w:rsidRDefault="00AD1F15" w:rsidP="00C03D63">
            <w:pPr>
              <w:jc w:val="both"/>
              <w:rPr>
                <w:rFonts w:ascii="AvenirNext LT Pro Regular" w:hAnsi="AvenirNext LT Pro Regular" w:cs="Tahoma"/>
                <w:sz w:val="20"/>
                <w:szCs w:val="20"/>
              </w:rPr>
            </w:pPr>
            <w:r>
              <w:rPr>
                <w:rFonts w:ascii="AvenirNext LT Pro Regular" w:hAnsi="AvenirNext LT Pro Regular" w:cs="Tahoma"/>
                <w:sz w:val="20"/>
                <w:szCs w:val="20"/>
              </w:rPr>
              <w:t>Morgan Stanley</w:t>
            </w:r>
          </w:p>
        </w:tc>
        <w:tc>
          <w:tcPr>
            <w:tcW w:w="1410" w:type="dxa"/>
          </w:tcPr>
          <w:p w14:paraId="1420CD20" w14:textId="52F3D303" w:rsidR="00EB4F79" w:rsidRDefault="00251C7D" w:rsidP="00251C7D">
            <w:pPr>
              <w:jc w:val="center"/>
              <w:rPr>
                <w:rFonts w:ascii="AvenirNext LT Pro Regular" w:hAnsi="AvenirNext LT Pro Regular" w:cs="Tahoma"/>
                <w:sz w:val="20"/>
                <w:szCs w:val="20"/>
              </w:rPr>
            </w:pPr>
            <w:r>
              <w:rPr>
                <w:rFonts w:ascii="AvenirNext LT Pro Regular" w:hAnsi="AvenirNext LT Pro Regular" w:cs="Tahoma"/>
                <w:sz w:val="20"/>
                <w:szCs w:val="20"/>
              </w:rPr>
              <w:t>3,900</w:t>
            </w:r>
          </w:p>
        </w:tc>
        <w:tc>
          <w:tcPr>
            <w:tcW w:w="1380" w:type="dxa"/>
          </w:tcPr>
          <w:p w14:paraId="496A0B48" w14:textId="3DA3005D" w:rsidR="00EB4F79" w:rsidRDefault="00251C7D" w:rsidP="00251C7D">
            <w:pPr>
              <w:jc w:val="center"/>
              <w:rPr>
                <w:rFonts w:ascii="AvenirNext LT Pro Regular" w:hAnsi="AvenirNext LT Pro Regular" w:cs="Tahoma"/>
                <w:sz w:val="20"/>
                <w:szCs w:val="20"/>
              </w:rPr>
            </w:pPr>
            <w:r>
              <w:rPr>
                <w:rFonts w:ascii="AvenirNext LT Pro Regular" w:hAnsi="AvenirNext LT Pro Regular" w:cs="Tahoma"/>
                <w:sz w:val="20"/>
                <w:szCs w:val="20"/>
              </w:rPr>
              <w:t>-22%</w:t>
            </w:r>
          </w:p>
        </w:tc>
      </w:tr>
    </w:tbl>
    <w:p w14:paraId="6C98EFCC" w14:textId="0055D615" w:rsidR="00EF668C" w:rsidRPr="00EF668C" w:rsidRDefault="00EF668C" w:rsidP="00EF668C">
      <w:pPr>
        <w:jc w:val="both"/>
        <w:rPr>
          <w:rFonts w:ascii="AvenirNext LT Pro Regular" w:hAnsi="AvenirNext LT Pro Regular" w:cs="Tahoma"/>
          <w:sz w:val="16"/>
          <w:szCs w:val="16"/>
        </w:rPr>
      </w:pPr>
      <w:r w:rsidRPr="00EF668C">
        <w:rPr>
          <w:rFonts w:ascii="AvenirNext LT Pro Regular" w:hAnsi="AvenirNext LT Pro Regular" w:cs="Tahoma"/>
          <w:sz w:val="16"/>
          <w:szCs w:val="16"/>
        </w:rPr>
        <w:t>Source:</w:t>
      </w:r>
      <w:hyperlink r:id="rId12" w:history="1">
        <w:r w:rsidRPr="00EF668C">
          <w:rPr>
            <w:rStyle w:val="Hyperlink"/>
            <w:rFonts w:ascii="AvenirNext LT Pro Regular" w:hAnsi="AvenirNext LT Pro Regular" w:cs="Tahoma"/>
            <w:sz w:val="16"/>
            <w:szCs w:val="16"/>
          </w:rPr>
          <w:t>https://www.marketwatch.com/story/wall-streets-stock-market-forecasts-for-2022-were-off-by-the-widest-margin-since-2008-will-next-year-be-any-different-11671583416</w:t>
        </w:r>
      </w:hyperlink>
      <w:r w:rsidRPr="00EF668C">
        <w:rPr>
          <w:rFonts w:ascii="AvenirNext LT Pro Regular" w:hAnsi="AvenirNext LT Pro Regular" w:cs="Tahoma"/>
          <w:sz w:val="16"/>
          <w:szCs w:val="16"/>
          <w:u w:val="single"/>
        </w:rPr>
        <w:t xml:space="preserve"> , Yahoo! Finance </w:t>
      </w:r>
      <w:r w:rsidRPr="00EF668C">
        <w:rPr>
          <w:rFonts w:ascii="AvenirNext LT Pro Regular" w:hAnsi="AvenirNext LT Pro Regular" w:cs="Tahoma"/>
          <w:sz w:val="16"/>
          <w:szCs w:val="16"/>
        </w:rPr>
        <w:t>The S&amp;P 500 ended the year at 4769.83.</w:t>
      </w:r>
    </w:p>
    <w:p w14:paraId="0D7349F9" w14:textId="77777777" w:rsidR="00CC6B2C" w:rsidRDefault="00CC6B2C" w:rsidP="00C03D63">
      <w:pPr>
        <w:jc w:val="both"/>
        <w:rPr>
          <w:rFonts w:ascii="AvenirNext LT Pro Regular" w:hAnsi="AvenirNext LT Pro Regular" w:cs="Tahoma"/>
          <w:sz w:val="20"/>
          <w:szCs w:val="20"/>
        </w:rPr>
      </w:pPr>
    </w:p>
    <w:p w14:paraId="6C2E4905" w14:textId="6C638E6F" w:rsidR="004B011A" w:rsidRDefault="004B011A" w:rsidP="004B011A">
      <w:pPr>
        <w:jc w:val="both"/>
        <w:rPr>
          <w:rFonts w:ascii="AvenirNext LT Pro Regular" w:hAnsi="AvenirNext LT Pro Regular" w:cs="Tahoma"/>
          <w:sz w:val="20"/>
          <w:szCs w:val="20"/>
        </w:rPr>
      </w:pPr>
      <w:r>
        <w:rPr>
          <w:rFonts w:ascii="AvenirNext LT Pro Regular" w:hAnsi="AvenirNext LT Pro Regular" w:cs="Tahoma"/>
          <w:sz w:val="20"/>
          <w:szCs w:val="20"/>
        </w:rPr>
        <w:t xml:space="preserve">Exhibit 1 </w:t>
      </w:r>
      <w:r w:rsidRPr="004B011A">
        <w:rPr>
          <w:rFonts w:ascii="AvenirNext LT Pro Regular" w:hAnsi="AvenirNext LT Pro Regular" w:cs="Tahoma"/>
          <w:sz w:val="20"/>
          <w:szCs w:val="20"/>
        </w:rPr>
        <w:t>looks at the same institutions we reviewed last year at this time, so this list had no cherry-picking.  We wanted to update their 2023 forecasts with what occurred.</w:t>
      </w:r>
      <w:r w:rsidR="00AD4390">
        <w:rPr>
          <w:rFonts w:ascii="AvenirNext LT Pro Regular" w:hAnsi="AvenirNext LT Pro Regular" w:cs="Tahoma"/>
          <w:sz w:val="20"/>
          <w:szCs w:val="20"/>
        </w:rPr>
        <w:t xml:space="preserve">  </w:t>
      </w:r>
      <w:r w:rsidRPr="004B011A">
        <w:rPr>
          <w:rFonts w:ascii="AvenirNext LT Pro Regular" w:hAnsi="AvenirNext LT Pro Regular" w:cs="Tahoma"/>
          <w:sz w:val="20"/>
          <w:szCs w:val="20"/>
        </w:rPr>
        <w:t xml:space="preserve">Each of the firms shown had lower forecasts vs. what </w:t>
      </w:r>
      <w:proofErr w:type="gramStart"/>
      <w:r w:rsidRPr="004B011A">
        <w:rPr>
          <w:rFonts w:ascii="AvenirNext LT Pro Regular" w:hAnsi="AvenirNext LT Pro Regular" w:cs="Tahoma"/>
          <w:sz w:val="20"/>
          <w:szCs w:val="20"/>
        </w:rPr>
        <w:t>actually occurred</w:t>
      </w:r>
      <w:proofErr w:type="gramEnd"/>
      <w:r w:rsidRPr="004B011A">
        <w:rPr>
          <w:rFonts w:ascii="AvenirNext LT Pro Regular" w:hAnsi="AvenirNext LT Pro Regular" w:cs="Tahoma"/>
          <w:sz w:val="20"/>
          <w:szCs w:val="20"/>
        </w:rPr>
        <w:t xml:space="preserve">, </w:t>
      </w:r>
      <w:r w:rsidR="002F37F0">
        <w:rPr>
          <w:rFonts w:ascii="AvenirNext LT Pro Regular" w:hAnsi="AvenirNext LT Pro Regular" w:cs="Tahoma"/>
          <w:sz w:val="20"/>
          <w:szCs w:val="20"/>
        </w:rPr>
        <w:t xml:space="preserve">ranging from </w:t>
      </w:r>
      <w:r w:rsidRPr="004B011A">
        <w:rPr>
          <w:rFonts w:ascii="AvenirNext LT Pro Regular" w:hAnsi="AvenirNext LT Pro Regular" w:cs="Tahoma"/>
          <w:sz w:val="20"/>
          <w:szCs w:val="20"/>
        </w:rPr>
        <w:t xml:space="preserve">8% </w:t>
      </w:r>
      <w:r w:rsidR="00AD4390">
        <w:rPr>
          <w:rFonts w:ascii="AvenirNext LT Pro Regular" w:hAnsi="AvenirNext LT Pro Regular" w:cs="Tahoma"/>
          <w:sz w:val="20"/>
          <w:szCs w:val="20"/>
        </w:rPr>
        <w:t xml:space="preserve">to </w:t>
      </w:r>
      <w:r w:rsidRPr="004B011A">
        <w:rPr>
          <w:rFonts w:ascii="AvenirNext LT Pro Regular" w:hAnsi="AvenirNext LT Pro Regular" w:cs="Tahoma"/>
          <w:sz w:val="20"/>
          <w:szCs w:val="20"/>
        </w:rPr>
        <w:t>22%</w:t>
      </w:r>
      <w:r w:rsidR="002F37F0">
        <w:rPr>
          <w:rFonts w:ascii="AvenirNext LT Pro Regular" w:hAnsi="AvenirNext LT Pro Regular" w:cs="Tahoma"/>
          <w:sz w:val="20"/>
          <w:szCs w:val="20"/>
        </w:rPr>
        <w:t xml:space="preserve"> lower</w:t>
      </w:r>
      <w:r w:rsidR="00AD4390">
        <w:rPr>
          <w:rFonts w:ascii="AvenirNext LT Pro Regular" w:hAnsi="AvenirNext LT Pro Regular" w:cs="Tahoma"/>
          <w:sz w:val="20"/>
          <w:szCs w:val="20"/>
        </w:rPr>
        <w:t xml:space="preserve">.  </w:t>
      </w:r>
      <w:r w:rsidRPr="004B011A">
        <w:rPr>
          <w:rFonts w:ascii="AvenirNext LT Pro Regular" w:hAnsi="AvenirNext LT Pro Regular" w:cs="Tahoma"/>
          <w:sz w:val="20"/>
          <w:szCs w:val="20"/>
        </w:rPr>
        <w:t xml:space="preserve">In other words, </w:t>
      </w:r>
      <w:r w:rsidR="00AD4390">
        <w:rPr>
          <w:rFonts w:ascii="AvenirNext LT Pro Regular" w:hAnsi="AvenirNext LT Pro Regular" w:cs="Tahoma"/>
          <w:sz w:val="20"/>
          <w:szCs w:val="20"/>
        </w:rPr>
        <w:t xml:space="preserve">while </w:t>
      </w:r>
      <w:r w:rsidRPr="004B011A">
        <w:rPr>
          <w:rFonts w:ascii="AvenirNext LT Pro Regular" w:hAnsi="AvenirNext LT Pro Regular" w:cs="Tahoma"/>
          <w:sz w:val="20"/>
          <w:szCs w:val="20"/>
        </w:rPr>
        <w:t xml:space="preserve">forecasting makes for interesting </w:t>
      </w:r>
      <w:r w:rsidRPr="004B011A">
        <w:rPr>
          <w:rFonts w:ascii="AvenirNext LT Pro Regular" w:hAnsi="AvenirNext LT Pro Regular" w:cs="Tahoma"/>
          <w:sz w:val="20"/>
          <w:szCs w:val="20"/>
        </w:rPr>
        <w:t xml:space="preserve">debate and conversation, we wouldn’t suggest basing your investment strategy off </w:t>
      </w:r>
      <w:r w:rsidR="00A83D8C">
        <w:rPr>
          <w:rFonts w:ascii="AvenirNext LT Pro Regular" w:hAnsi="AvenirNext LT Pro Regular" w:cs="Tahoma"/>
          <w:sz w:val="20"/>
          <w:szCs w:val="20"/>
        </w:rPr>
        <w:t>it</w:t>
      </w:r>
      <w:r w:rsidRPr="004B011A">
        <w:rPr>
          <w:rFonts w:ascii="AvenirNext LT Pro Regular" w:hAnsi="AvenirNext LT Pro Regular" w:cs="Tahoma"/>
          <w:sz w:val="20"/>
          <w:szCs w:val="20"/>
        </w:rPr>
        <w:t>.</w:t>
      </w:r>
    </w:p>
    <w:p w14:paraId="610B515A" w14:textId="77777777" w:rsidR="00422122" w:rsidRDefault="00422122" w:rsidP="004B011A">
      <w:pPr>
        <w:jc w:val="both"/>
        <w:rPr>
          <w:rFonts w:ascii="AvenirNext LT Pro Regular" w:hAnsi="AvenirNext LT Pro Regular" w:cs="Tahoma"/>
          <w:sz w:val="20"/>
          <w:szCs w:val="20"/>
        </w:rPr>
      </w:pPr>
    </w:p>
    <w:p w14:paraId="549C17AD" w14:textId="5E4EC2F8" w:rsidR="00F11932" w:rsidRDefault="002C665C" w:rsidP="00FE4C36">
      <w:pPr>
        <w:jc w:val="both"/>
        <w:rPr>
          <w:rFonts w:ascii="AvenirNext LT Pro Regular" w:hAnsi="AvenirNext LT Pro Regular" w:cs="Tahoma"/>
          <w:b/>
          <w:sz w:val="20"/>
          <w:szCs w:val="20"/>
          <w:u w:val="single"/>
        </w:rPr>
      </w:pPr>
      <w:r>
        <w:rPr>
          <w:rFonts w:ascii="AvenirNext LT Pro Regular" w:hAnsi="AvenirNext LT Pro Regular" w:cs="Tahoma"/>
          <w:b/>
          <w:sz w:val="20"/>
          <w:szCs w:val="20"/>
          <w:u w:val="single"/>
        </w:rPr>
        <w:t>An update on US inflation and the Fed</w:t>
      </w:r>
    </w:p>
    <w:p w14:paraId="6578D169" w14:textId="77777777" w:rsidR="00F11932" w:rsidRDefault="00F11932" w:rsidP="00FE4C36">
      <w:pPr>
        <w:jc w:val="both"/>
        <w:rPr>
          <w:rFonts w:ascii="AvenirNext LT Pro Regular" w:hAnsi="AvenirNext LT Pro Regular" w:cs="Tahoma"/>
          <w:sz w:val="20"/>
          <w:szCs w:val="20"/>
        </w:rPr>
      </w:pPr>
    </w:p>
    <w:p w14:paraId="7E9C8AEE" w14:textId="4E5EAFC0" w:rsidR="00441C83" w:rsidRDefault="00441C83" w:rsidP="00441C83">
      <w:pPr>
        <w:jc w:val="both"/>
        <w:rPr>
          <w:rFonts w:ascii="AvenirNext LT Pro Regular" w:hAnsi="AvenirNext LT Pro Regular" w:cs="Tahoma"/>
          <w:sz w:val="20"/>
          <w:szCs w:val="20"/>
        </w:rPr>
      </w:pPr>
      <w:r>
        <w:rPr>
          <w:rFonts w:ascii="AvenirNext LT Pro Regular" w:hAnsi="AvenirNext LT Pro Regular" w:cs="Tahoma"/>
          <w:sz w:val="20"/>
          <w:szCs w:val="20"/>
        </w:rPr>
        <w:t xml:space="preserve">Regarding </w:t>
      </w:r>
      <w:r w:rsidRPr="00441C83">
        <w:rPr>
          <w:rFonts w:ascii="AvenirNext LT Pro Regular" w:hAnsi="AvenirNext LT Pro Regular" w:cs="Tahoma"/>
          <w:sz w:val="20"/>
          <w:szCs w:val="20"/>
        </w:rPr>
        <w:t xml:space="preserve">inflation, for at least the last year we have spoken about the three </w:t>
      </w:r>
      <w:proofErr w:type="gramStart"/>
      <w:r w:rsidRPr="00441C83">
        <w:rPr>
          <w:rFonts w:ascii="AvenirNext LT Pro Regular" w:hAnsi="AvenirNext LT Pro Regular" w:cs="Tahoma"/>
          <w:sz w:val="20"/>
          <w:szCs w:val="20"/>
        </w:rPr>
        <w:t>P’s</w:t>
      </w:r>
      <w:proofErr w:type="gramEnd"/>
      <w:r w:rsidRPr="00441C83">
        <w:rPr>
          <w:rFonts w:ascii="AvenirNext LT Pro Regular" w:hAnsi="AvenirNext LT Pro Regular" w:cs="Tahoma"/>
          <w:sz w:val="20"/>
          <w:szCs w:val="20"/>
        </w:rPr>
        <w:t xml:space="preserve"> of pace, pause, and pivot.  Going back to the 2</w:t>
      </w:r>
      <w:r w:rsidRPr="00441C83">
        <w:rPr>
          <w:rFonts w:ascii="AvenirNext LT Pro Regular" w:hAnsi="AvenirNext LT Pro Regular" w:cs="Tahoma"/>
          <w:sz w:val="20"/>
          <w:szCs w:val="20"/>
          <w:vertAlign w:val="superscript"/>
        </w:rPr>
        <w:t>nd</w:t>
      </w:r>
      <w:r w:rsidRPr="00441C83">
        <w:rPr>
          <w:rFonts w:ascii="AvenirNext LT Pro Regular" w:hAnsi="AvenirNext LT Pro Regular" w:cs="Tahoma"/>
          <w:sz w:val="20"/>
          <w:szCs w:val="20"/>
        </w:rPr>
        <w:t xml:space="preserve"> quarter of 2023, we saw the Fed implement their last rate increase, moving rates up by 0.25% in July. Since then, the Fed has hit the pause button as the Fed Funds rate remains at the 5.25-5.5% range it set over the summer.</w:t>
      </w:r>
    </w:p>
    <w:p w14:paraId="715CE0CC" w14:textId="77777777" w:rsidR="009736D0" w:rsidRPr="00441C83" w:rsidRDefault="009736D0" w:rsidP="00441C83">
      <w:pPr>
        <w:jc w:val="both"/>
        <w:rPr>
          <w:rFonts w:ascii="AvenirNext LT Pro Regular" w:hAnsi="AvenirNext LT Pro Regular" w:cs="Tahoma"/>
          <w:sz w:val="20"/>
          <w:szCs w:val="20"/>
        </w:rPr>
      </w:pPr>
    </w:p>
    <w:p w14:paraId="0E533584" w14:textId="285E307B" w:rsidR="00C56E12" w:rsidRDefault="00441C83" w:rsidP="0083041F">
      <w:pPr>
        <w:jc w:val="both"/>
        <w:rPr>
          <w:rFonts w:ascii="AvenirNext LT Pro Regular" w:hAnsi="AvenirNext LT Pro Regular" w:cs="Tahoma"/>
          <w:sz w:val="20"/>
          <w:szCs w:val="20"/>
        </w:rPr>
      </w:pPr>
      <w:r w:rsidRPr="00441C83">
        <w:rPr>
          <w:rFonts w:ascii="AvenirNext LT Pro Regular" w:hAnsi="AvenirNext LT Pro Regular" w:cs="Tahoma"/>
          <w:sz w:val="20"/>
          <w:szCs w:val="20"/>
        </w:rPr>
        <w:t xml:space="preserve">The Fed says they </w:t>
      </w:r>
      <w:r w:rsidR="009736D0">
        <w:rPr>
          <w:rFonts w:ascii="AvenirNext LT Pro Regular" w:hAnsi="AvenirNext LT Pro Regular" w:cs="Tahoma"/>
          <w:sz w:val="20"/>
          <w:szCs w:val="20"/>
        </w:rPr>
        <w:t xml:space="preserve">will </w:t>
      </w:r>
      <w:r w:rsidRPr="00441C83">
        <w:rPr>
          <w:rFonts w:ascii="AvenirNext LT Pro Regular" w:hAnsi="AvenirNext LT Pro Regular" w:cs="Tahoma"/>
          <w:sz w:val="20"/>
          <w:szCs w:val="20"/>
        </w:rPr>
        <w:t>continue to be data dependent on making any future changes as inflation is still higher than desired, and with a labor market that remains tight. They have continued to promote the idea that even though inflation has moderated from last year’s highs, there is still a long way to go to hit their 2% target, and that there are no guarantees what the future will bring.</w:t>
      </w:r>
      <w:r w:rsidR="0083041F">
        <w:rPr>
          <w:rFonts w:ascii="AvenirNext LT Pro Regular" w:hAnsi="AvenirNext LT Pro Regular" w:cs="Tahoma"/>
          <w:sz w:val="20"/>
          <w:szCs w:val="20"/>
        </w:rPr>
        <w:t xml:space="preserve"> In other words, it could be a while before the Fed pivots, and starts lowering the Fed Funds rate.  </w:t>
      </w:r>
    </w:p>
    <w:p w14:paraId="77652EA6" w14:textId="77777777" w:rsidR="00C0644D" w:rsidRDefault="00C0644D" w:rsidP="006E26FE">
      <w:pPr>
        <w:jc w:val="both"/>
        <w:rPr>
          <w:rFonts w:ascii="AvenirNext LT Pro Regular" w:hAnsi="AvenirNext LT Pro Regular" w:cs="Tahoma"/>
          <w:sz w:val="20"/>
          <w:szCs w:val="20"/>
        </w:rPr>
      </w:pPr>
    </w:p>
    <w:bookmarkEnd w:id="0"/>
    <w:p w14:paraId="35CE4FD5" w14:textId="7FEA0980" w:rsidR="007B0FA0" w:rsidRPr="00AA6AA6" w:rsidRDefault="00886E02" w:rsidP="00E80725">
      <w:pPr>
        <w:jc w:val="both"/>
        <w:rPr>
          <w:rFonts w:ascii="AvenirNext LT Pro Regular" w:hAnsi="AvenirNext LT Pro Regular" w:cs="Tahoma"/>
          <w:b/>
          <w:sz w:val="20"/>
          <w:szCs w:val="20"/>
        </w:rPr>
      </w:pPr>
      <w:r w:rsidRPr="00AA6AA6">
        <w:rPr>
          <w:rFonts w:ascii="AvenirNext LT Pro Regular" w:hAnsi="AvenirNext LT Pro Regular" w:cs="Tahoma"/>
          <w:b/>
          <w:sz w:val="20"/>
          <w:szCs w:val="20"/>
          <w:u w:val="single"/>
        </w:rPr>
        <w:t>U</w:t>
      </w:r>
      <w:r w:rsidR="007B0FA0" w:rsidRPr="00AA6AA6">
        <w:rPr>
          <w:rFonts w:ascii="AvenirNext LT Pro Regular" w:hAnsi="AvenirNext LT Pro Regular" w:cs="Tahoma"/>
          <w:b/>
          <w:sz w:val="20"/>
          <w:szCs w:val="20"/>
          <w:u w:val="single"/>
        </w:rPr>
        <w:t xml:space="preserve">.S. </w:t>
      </w:r>
      <w:r w:rsidR="00151FD2">
        <w:rPr>
          <w:rFonts w:ascii="AvenirNext LT Pro Regular" w:hAnsi="AvenirNext LT Pro Regular" w:cs="Tahoma"/>
          <w:b/>
          <w:sz w:val="20"/>
          <w:szCs w:val="20"/>
          <w:u w:val="single"/>
        </w:rPr>
        <w:t xml:space="preserve">Stocks </w:t>
      </w:r>
    </w:p>
    <w:p w14:paraId="02F88E65" w14:textId="77777777" w:rsidR="000472BD" w:rsidRPr="00AA6AA6" w:rsidRDefault="000472BD" w:rsidP="00E80725">
      <w:pPr>
        <w:jc w:val="both"/>
        <w:rPr>
          <w:rFonts w:ascii="AvenirNext LT Pro Regular" w:hAnsi="AvenirNext LT Pro Regular" w:cs="Tahoma"/>
          <w:sz w:val="20"/>
          <w:szCs w:val="20"/>
        </w:rPr>
      </w:pPr>
    </w:p>
    <w:p w14:paraId="512B433B" w14:textId="77777777" w:rsidR="006553DB" w:rsidRPr="006553DB" w:rsidRDefault="006553DB" w:rsidP="006553DB">
      <w:pPr>
        <w:pStyle w:val="ListParagraph"/>
        <w:numPr>
          <w:ilvl w:val="0"/>
          <w:numId w:val="9"/>
        </w:numPr>
        <w:jc w:val="both"/>
        <w:rPr>
          <w:rFonts w:ascii="AvenirNext LT Pro Regular" w:hAnsi="AvenirNext LT Pro Regular" w:cs="Tahoma"/>
          <w:sz w:val="20"/>
          <w:szCs w:val="20"/>
        </w:rPr>
      </w:pPr>
      <w:r w:rsidRPr="006553DB">
        <w:rPr>
          <w:rFonts w:ascii="AvenirNext LT Pro Regular" w:hAnsi="AvenirNext LT Pro Regular" w:cs="Tahoma"/>
          <w:sz w:val="20"/>
          <w:szCs w:val="20"/>
        </w:rPr>
        <w:t xml:space="preserve">All US stock indexes had strong gains for the quarter and the year.  </w:t>
      </w:r>
    </w:p>
    <w:p w14:paraId="46990C62" w14:textId="38C8FD50" w:rsidR="00DC3EC9" w:rsidRDefault="006E1CAF" w:rsidP="00B72BEF">
      <w:pPr>
        <w:pStyle w:val="ListParagraph"/>
        <w:numPr>
          <w:ilvl w:val="0"/>
          <w:numId w:val="9"/>
        </w:numPr>
        <w:jc w:val="both"/>
        <w:rPr>
          <w:rFonts w:ascii="AvenirNext LT Pro Regular" w:hAnsi="AvenirNext LT Pro Regular" w:cs="Tahoma"/>
          <w:sz w:val="20"/>
          <w:szCs w:val="20"/>
        </w:rPr>
      </w:pPr>
      <w:proofErr w:type="gramStart"/>
      <w:r w:rsidRPr="009E28B6">
        <w:rPr>
          <w:rFonts w:ascii="AvenirNext LT Pro Regular" w:hAnsi="AvenirNext LT Pro Regular" w:cs="Tahoma"/>
          <w:sz w:val="20"/>
          <w:szCs w:val="20"/>
        </w:rPr>
        <w:t>The majority of</w:t>
      </w:r>
      <w:proofErr w:type="gramEnd"/>
      <w:r w:rsidRPr="009E28B6">
        <w:rPr>
          <w:rFonts w:ascii="AvenirNext LT Pro Regular" w:hAnsi="AvenirNext LT Pro Regular" w:cs="Tahoma"/>
          <w:sz w:val="20"/>
          <w:szCs w:val="20"/>
        </w:rPr>
        <w:t xml:space="preserve"> the S&amp;P 500’s 2023 return came from just a few stocks, known as the </w:t>
      </w:r>
      <w:r w:rsidR="009E28B6" w:rsidRPr="009E28B6">
        <w:rPr>
          <w:rFonts w:ascii="AvenirNext LT Pro Regular" w:hAnsi="AvenirNext LT Pro Regular" w:cs="Tahoma"/>
          <w:sz w:val="20"/>
          <w:szCs w:val="20"/>
        </w:rPr>
        <w:t>Magnificent Seven</w:t>
      </w:r>
      <w:r w:rsidR="009E28B6">
        <w:rPr>
          <w:rFonts w:ascii="AvenirNext LT Pro Regular" w:hAnsi="AvenirNext LT Pro Regular" w:cs="Tahoma"/>
          <w:sz w:val="20"/>
          <w:szCs w:val="20"/>
        </w:rPr>
        <w:t>.</w:t>
      </w:r>
    </w:p>
    <w:p w14:paraId="76212D4D" w14:textId="77777777" w:rsidR="00FA7663" w:rsidRDefault="00FA7663" w:rsidP="009E28B6">
      <w:pPr>
        <w:jc w:val="both"/>
        <w:rPr>
          <w:rFonts w:ascii="AvenirNext LT Pro Regular" w:hAnsi="AvenirNext LT Pro Regular" w:cs="Tahoma"/>
          <w:sz w:val="20"/>
          <w:szCs w:val="20"/>
        </w:rPr>
      </w:pPr>
    </w:p>
    <w:p w14:paraId="5C8E49BD" w14:textId="612C28AC" w:rsidR="009E28B6" w:rsidRDefault="00FA7663" w:rsidP="009E28B6">
      <w:pPr>
        <w:jc w:val="both"/>
        <w:rPr>
          <w:rFonts w:ascii="AvenirNext LT Pro Regular" w:hAnsi="AvenirNext LT Pro Regular" w:cs="Tahoma"/>
          <w:sz w:val="20"/>
          <w:szCs w:val="20"/>
        </w:rPr>
      </w:pPr>
      <w:r>
        <w:rPr>
          <w:rFonts w:ascii="AvenirNext LT Pro Regular" w:hAnsi="AvenirNext LT Pro Regular" w:cs="Tahoma"/>
          <w:sz w:val="20"/>
          <w:szCs w:val="20"/>
        </w:rPr>
        <w:t>Exhibit 2</w:t>
      </w:r>
    </w:p>
    <w:tbl>
      <w:tblPr>
        <w:tblStyle w:val="TableGrid"/>
        <w:tblW w:w="0" w:type="auto"/>
        <w:tblLook w:val="04A0" w:firstRow="1" w:lastRow="0" w:firstColumn="1" w:lastColumn="0" w:noHBand="0" w:noVBand="1"/>
      </w:tblPr>
      <w:tblGrid>
        <w:gridCol w:w="2335"/>
        <w:gridCol w:w="2335"/>
      </w:tblGrid>
      <w:tr w:rsidR="00FA7663" w14:paraId="4140284A" w14:textId="77777777" w:rsidTr="00FA7663">
        <w:tc>
          <w:tcPr>
            <w:tcW w:w="2335" w:type="dxa"/>
          </w:tcPr>
          <w:p w14:paraId="3A3B7DDF" w14:textId="205B54E1" w:rsidR="00FA7663" w:rsidRPr="00FA7663" w:rsidRDefault="00FA7663" w:rsidP="00F201A9">
            <w:pPr>
              <w:jc w:val="center"/>
              <w:rPr>
                <w:rFonts w:ascii="AvenirNext LT Pro Regular" w:hAnsi="AvenirNext LT Pro Regular" w:cs="Tahoma"/>
                <w:b/>
                <w:bCs/>
                <w:sz w:val="20"/>
                <w:szCs w:val="20"/>
              </w:rPr>
            </w:pPr>
            <w:r w:rsidRPr="00FA7663">
              <w:rPr>
                <w:rFonts w:ascii="AvenirNext LT Pro Regular" w:hAnsi="AvenirNext LT Pro Regular" w:cs="Tahoma"/>
                <w:b/>
                <w:bCs/>
                <w:sz w:val="20"/>
                <w:szCs w:val="20"/>
              </w:rPr>
              <w:t>Company</w:t>
            </w:r>
          </w:p>
        </w:tc>
        <w:tc>
          <w:tcPr>
            <w:tcW w:w="2335" w:type="dxa"/>
          </w:tcPr>
          <w:p w14:paraId="1758B5B9" w14:textId="5E259338" w:rsidR="00FA7663" w:rsidRPr="00FA7663" w:rsidRDefault="00FA7663" w:rsidP="00F201A9">
            <w:pPr>
              <w:jc w:val="center"/>
              <w:rPr>
                <w:rFonts w:ascii="AvenirNext LT Pro Regular" w:hAnsi="AvenirNext LT Pro Regular" w:cs="Tahoma"/>
                <w:b/>
                <w:bCs/>
                <w:sz w:val="20"/>
                <w:szCs w:val="20"/>
              </w:rPr>
            </w:pPr>
            <w:r w:rsidRPr="00FA7663">
              <w:rPr>
                <w:rFonts w:ascii="AvenirNext LT Pro Regular" w:hAnsi="AvenirNext LT Pro Regular" w:cs="Tahoma"/>
                <w:b/>
                <w:bCs/>
                <w:sz w:val="20"/>
                <w:szCs w:val="20"/>
              </w:rPr>
              <w:t>2023 Return</w:t>
            </w:r>
          </w:p>
        </w:tc>
      </w:tr>
      <w:tr w:rsidR="00FA7663" w14:paraId="2DE5496C" w14:textId="77777777" w:rsidTr="00FA7663">
        <w:tc>
          <w:tcPr>
            <w:tcW w:w="2335" w:type="dxa"/>
          </w:tcPr>
          <w:p w14:paraId="55566D8E" w14:textId="517072F8" w:rsidR="00FA7663" w:rsidRDefault="00FA7663" w:rsidP="00F201A9">
            <w:pPr>
              <w:jc w:val="center"/>
              <w:rPr>
                <w:rFonts w:ascii="AvenirNext LT Pro Regular" w:hAnsi="AvenirNext LT Pro Regular" w:cs="Tahoma"/>
                <w:sz w:val="20"/>
                <w:szCs w:val="20"/>
              </w:rPr>
            </w:pPr>
            <w:r>
              <w:rPr>
                <w:rFonts w:ascii="AvenirNext LT Pro Regular" w:hAnsi="AvenirNext LT Pro Regular" w:cs="Tahoma"/>
                <w:sz w:val="20"/>
                <w:szCs w:val="20"/>
              </w:rPr>
              <w:t>Apple</w:t>
            </w:r>
          </w:p>
        </w:tc>
        <w:tc>
          <w:tcPr>
            <w:tcW w:w="2335" w:type="dxa"/>
          </w:tcPr>
          <w:p w14:paraId="6FB5D625" w14:textId="451371D4" w:rsidR="00FA7663" w:rsidRDefault="00F201A9" w:rsidP="00F201A9">
            <w:pPr>
              <w:jc w:val="center"/>
              <w:rPr>
                <w:rFonts w:ascii="AvenirNext LT Pro Regular" w:hAnsi="AvenirNext LT Pro Regular" w:cs="Tahoma"/>
                <w:sz w:val="20"/>
                <w:szCs w:val="20"/>
              </w:rPr>
            </w:pPr>
            <w:r>
              <w:rPr>
                <w:rFonts w:ascii="AvenirNext LT Pro Regular" w:hAnsi="AvenirNext LT Pro Regular" w:cs="Tahoma"/>
                <w:sz w:val="20"/>
                <w:szCs w:val="20"/>
              </w:rPr>
              <w:t>48.9%</w:t>
            </w:r>
          </w:p>
        </w:tc>
      </w:tr>
      <w:tr w:rsidR="00FA7663" w14:paraId="424AA337" w14:textId="77777777" w:rsidTr="00FA7663">
        <w:tc>
          <w:tcPr>
            <w:tcW w:w="2335" w:type="dxa"/>
          </w:tcPr>
          <w:p w14:paraId="503E7100" w14:textId="1033B374" w:rsidR="00FA7663" w:rsidRDefault="00FA7663" w:rsidP="00F201A9">
            <w:pPr>
              <w:jc w:val="center"/>
              <w:rPr>
                <w:rFonts w:ascii="AvenirNext LT Pro Regular" w:hAnsi="AvenirNext LT Pro Regular" w:cs="Tahoma"/>
                <w:sz w:val="20"/>
                <w:szCs w:val="20"/>
              </w:rPr>
            </w:pPr>
            <w:r>
              <w:rPr>
                <w:rFonts w:ascii="AvenirNext LT Pro Regular" w:hAnsi="AvenirNext LT Pro Regular" w:cs="Tahoma"/>
                <w:sz w:val="20"/>
                <w:szCs w:val="20"/>
              </w:rPr>
              <w:t>Microsoft</w:t>
            </w:r>
          </w:p>
        </w:tc>
        <w:tc>
          <w:tcPr>
            <w:tcW w:w="2335" w:type="dxa"/>
          </w:tcPr>
          <w:p w14:paraId="0681F2C2" w14:textId="00440E5C" w:rsidR="00FA7663" w:rsidRDefault="00F201A9" w:rsidP="00F201A9">
            <w:pPr>
              <w:jc w:val="center"/>
              <w:rPr>
                <w:rFonts w:ascii="AvenirNext LT Pro Regular" w:hAnsi="AvenirNext LT Pro Regular" w:cs="Tahoma"/>
                <w:sz w:val="20"/>
                <w:szCs w:val="20"/>
              </w:rPr>
            </w:pPr>
            <w:r>
              <w:rPr>
                <w:rFonts w:ascii="AvenirNext LT Pro Regular" w:hAnsi="AvenirNext LT Pro Regular" w:cs="Tahoma"/>
                <w:sz w:val="20"/>
                <w:szCs w:val="20"/>
              </w:rPr>
              <w:t>58.0%</w:t>
            </w:r>
          </w:p>
        </w:tc>
      </w:tr>
      <w:tr w:rsidR="00FA7663" w14:paraId="408808E5" w14:textId="77777777" w:rsidTr="00FA7663">
        <w:tc>
          <w:tcPr>
            <w:tcW w:w="2335" w:type="dxa"/>
          </w:tcPr>
          <w:p w14:paraId="44644B4C" w14:textId="39FF56A3" w:rsidR="00FA7663" w:rsidRDefault="00FA7663" w:rsidP="00F201A9">
            <w:pPr>
              <w:jc w:val="center"/>
              <w:rPr>
                <w:rFonts w:ascii="AvenirNext LT Pro Regular" w:hAnsi="AvenirNext LT Pro Regular" w:cs="Tahoma"/>
                <w:sz w:val="20"/>
                <w:szCs w:val="20"/>
              </w:rPr>
            </w:pPr>
            <w:r>
              <w:rPr>
                <w:rFonts w:ascii="AvenirNext LT Pro Regular" w:hAnsi="AvenirNext LT Pro Regular" w:cs="Tahoma"/>
                <w:sz w:val="20"/>
                <w:szCs w:val="20"/>
              </w:rPr>
              <w:t>Alphabet (Google)</w:t>
            </w:r>
          </w:p>
        </w:tc>
        <w:tc>
          <w:tcPr>
            <w:tcW w:w="2335" w:type="dxa"/>
          </w:tcPr>
          <w:p w14:paraId="56A9860A" w14:textId="76C9347A" w:rsidR="00FA7663" w:rsidRDefault="00F201A9" w:rsidP="00F201A9">
            <w:pPr>
              <w:jc w:val="center"/>
              <w:rPr>
                <w:rFonts w:ascii="AvenirNext LT Pro Regular" w:hAnsi="AvenirNext LT Pro Regular" w:cs="Tahoma"/>
                <w:sz w:val="20"/>
                <w:szCs w:val="20"/>
              </w:rPr>
            </w:pPr>
            <w:r>
              <w:rPr>
                <w:rFonts w:ascii="AvenirNext LT Pro Regular" w:hAnsi="AvenirNext LT Pro Regular" w:cs="Tahoma"/>
                <w:sz w:val="20"/>
                <w:szCs w:val="20"/>
              </w:rPr>
              <w:t>58.3%</w:t>
            </w:r>
          </w:p>
        </w:tc>
      </w:tr>
      <w:tr w:rsidR="00FA7663" w14:paraId="7210DCD0" w14:textId="77777777" w:rsidTr="00FA7663">
        <w:tc>
          <w:tcPr>
            <w:tcW w:w="2335" w:type="dxa"/>
          </w:tcPr>
          <w:p w14:paraId="3DCA1C2C" w14:textId="16BBB064" w:rsidR="00FA7663" w:rsidRDefault="00FA7663" w:rsidP="00F201A9">
            <w:pPr>
              <w:jc w:val="center"/>
              <w:rPr>
                <w:rFonts w:ascii="AvenirNext LT Pro Regular" w:hAnsi="AvenirNext LT Pro Regular" w:cs="Tahoma"/>
                <w:sz w:val="20"/>
                <w:szCs w:val="20"/>
              </w:rPr>
            </w:pPr>
            <w:r>
              <w:rPr>
                <w:rFonts w:ascii="AvenirNext LT Pro Regular" w:hAnsi="AvenirNext LT Pro Regular" w:cs="Tahoma"/>
                <w:sz w:val="20"/>
                <w:szCs w:val="20"/>
              </w:rPr>
              <w:t>Amazon</w:t>
            </w:r>
          </w:p>
        </w:tc>
        <w:tc>
          <w:tcPr>
            <w:tcW w:w="2335" w:type="dxa"/>
          </w:tcPr>
          <w:p w14:paraId="0DA79BCE" w14:textId="432C2B95" w:rsidR="00FA7663" w:rsidRDefault="00F201A9" w:rsidP="00F201A9">
            <w:pPr>
              <w:jc w:val="center"/>
              <w:rPr>
                <w:rFonts w:ascii="AvenirNext LT Pro Regular" w:hAnsi="AvenirNext LT Pro Regular" w:cs="Tahoma"/>
                <w:sz w:val="20"/>
                <w:szCs w:val="20"/>
              </w:rPr>
            </w:pPr>
            <w:r>
              <w:rPr>
                <w:rFonts w:ascii="AvenirNext LT Pro Regular" w:hAnsi="AvenirNext LT Pro Regular" w:cs="Tahoma"/>
                <w:sz w:val="20"/>
                <w:szCs w:val="20"/>
              </w:rPr>
              <w:t>80.9%</w:t>
            </w:r>
          </w:p>
        </w:tc>
      </w:tr>
      <w:tr w:rsidR="00FA7663" w14:paraId="6F9B15BC" w14:textId="77777777" w:rsidTr="00FA7663">
        <w:tc>
          <w:tcPr>
            <w:tcW w:w="2335" w:type="dxa"/>
          </w:tcPr>
          <w:p w14:paraId="0BF4137F" w14:textId="600A3A57" w:rsidR="00FA7663" w:rsidRDefault="00FA7663" w:rsidP="00F201A9">
            <w:pPr>
              <w:jc w:val="center"/>
              <w:rPr>
                <w:rFonts w:ascii="AvenirNext LT Pro Regular" w:hAnsi="AvenirNext LT Pro Regular" w:cs="Tahoma"/>
                <w:sz w:val="20"/>
                <w:szCs w:val="20"/>
              </w:rPr>
            </w:pPr>
            <w:r>
              <w:rPr>
                <w:rFonts w:ascii="AvenirNext LT Pro Regular" w:hAnsi="AvenirNext LT Pro Regular" w:cs="Tahoma"/>
                <w:sz w:val="20"/>
                <w:szCs w:val="20"/>
              </w:rPr>
              <w:t>Nvidia</w:t>
            </w:r>
          </w:p>
        </w:tc>
        <w:tc>
          <w:tcPr>
            <w:tcW w:w="2335" w:type="dxa"/>
          </w:tcPr>
          <w:p w14:paraId="2D9CB366" w14:textId="5DA4107E" w:rsidR="00FA7663" w:rsidRDefault="00F201A9" w:rsidP="00F201A9">
            <w:pPr>
              <w:jc w:val="center"/>
              <w:rPr>
                <w:rFonts w:ascii="AvenirNext LT Pro Regular" w:hAnsi="AvenirNext LT Pro Regular" w:cs="Tahoma"/>
                <w:sz w:val="20"/>
                <w:szCs w:val="20"/>
              </w:rPr>
            </w:pPr>
            <w:r>
              <w:rPr>
                <w:rFonts w:ascii="AvenirNext LT Pro Regular" w:hAnsi="AvenirNext LT Pro Regular" w:cs="Tahoma"/>
                <w:sz w:val="20"/>
                <w:szCs w:val="20"/>
              </w:rPr>
              <w:t>239.0%</w:t>
            </w:r>
          </w:p>
        </w:tc>
      </w:tr>
      <w:tr w:rsidR="00FA7663" w14:paraId="09818E67" w14:textId="77777777" w:rsidTr="00FA7663">
        <w:tc>
          <w:tcPr>
            <w:tcW w:w="2335" w:type="dxa"/>
          </w:tcPr>
          <w:p w14:paraId="2B9DCAA7" w14:textId="2BD9DE2A" w:rsidR="00FA7663" w:rsidRDefault="00FA7663" w:rsidP="00F201A9">
            <w:pPr>
              <w:jc w:val="center"/>
              <w:rPr>
                <w:rFonts w:ascii="AvenirNext LT Pro Regular" w:hAnsi="AvenirNext LT Pro Regular" w:cs="Tahoma"/>
                <w:sz w:val="20"/>
                <w:szCs w:val="20"/>
              </w:rPr>
            </w:pPr>
            <w:r>
              <w:rPr>
                <w:rFonts w:ascii="AvenirNext LT Pro Regular" w:hAnsi="AvenirNext LT Pro Regular" w:cs="Tahoma"/>
                <w:sz w:val="20"/>
                <w:szCs w:val="20"/>
              </w:rPr>
              <w:t>Meta</w:t>
            </w:r>
          </w:p>
        </w:tc>
        <w:tc>
          <w:tcPr>
            <w:tcW w:w="2335" w:type="dxa"/>
          </w:tcPr>
          <w:p w14:paraId="5F743E29" w14:textId="4FF2244A" w:rsidR="00FA7663" w:rsidRDefault="00F201A9" w:rsidP="00F201A9">
            <w:pPr>
              <w:jc w:val="center"/>
              <w:rPr>
                <w:rFonts w:ascii="AvenirNext LT Pro Regular" w:hAnsi="AvenirNext LT Pro Regular" w:cs="Tahoma"/>
                <w:sz w:val="20"/>
                <w:szCs w:val="20"/>
              </w:rPr>
            </w:pPr>
            <w:r>
              <w:rPr>
                <w:rFonts w:ascii="AvenirNext LT Pro Regular" w:hAnsi="AvenirNext LT Pro Regular" w:cs="Tahoma"/>
                <w:sz w:val="20"/>
                <w:szCs w:val="20"/>
              </w:rPr>
              <w:t>194.1%</w:t>
            </w:r>
          </w:p>
        </w:tc>
      </w:tr>
      <w:tr w:rsidR="00FA7663" w14:paraId="15D01D6F" w14:textId="77777777" w:rsidTr="00FA7663">
        <w:tc>
          <w:tcPr>
            <w:tcW w:w="2335" w:type="dxa"/>
          </w:tcPr>
          <w:p w14:paraId="4A40C149" w14:textId="1DB175E7" w:rsidR="00FA7663" w:rsidRDefault="00FA7663" w:rsidP="00F201A9">
            <w:pPr>
              <w:jc w:val="center"/>
              <w:rPr>
                <w:rFonts w:ascii="AvenirNext LT Pro Regular" w:hAnsi="AvenirNext LT Pro Regular" w:cs="Tahoma"/>
                <w:sz w:val="20"/>
                <w:szCs w:val="20"/>
              </w:rPr>
            </w:pPr>
            <w:r>
              <w:rPr>
                <w:rFonts w:ascii="AvenirNext LT Pro Regular" w:hAnsi="AvenirNext LT Pro Regular" w:cs="Tahoma"/>
                <w:sz w:val="20"/>
                <w:szCs w:val="20"/>
              </w:rPr>
              <w:t>Tesla</w:t>
            </w:r>
          </w:p>
        </w:tc>
        <w:tc>
          <w:tcPr>
            <w:tcW w:w="2335" w:type="dxa"/>
          </w:tcPr>
          <w:p w14:paraId="3143EC61" w14:textId="5F690C72" w:rsidR="00FA7663" w:rsidRDefault="00F201A9" w:rsidP="00F201A9">
            <w:pPr>
              <w:jc w:val="center"/>
              <w:rPr>
                <w:rFonts w:ascii="AvenirNext LT Pro Regular" w:hAnsi="AvenirNext LT Pro Regular" w:cs="Tahoma"/>
                <w:sz w:val="20"/>
                <w:szCs w:val="20"/>
              </w:rPr>
            </w:pPr>
            <w:r>
              <w:rPr>
                <w:rFonts w:ascii="AvenirNext LT Pro Regular" w:hAnsi="AvenirNext LT Pro Regular" w:cs="Tahoma"/>
                <w:sz w:val="20"/>
                <w:szCs w:val="20"/>
              </w:rPr>
              <w:t>101.7%</w:t>
            </w:r>
          </w:p>
        </w:tc>
      </w:tr>
      <w:tr w:rsidR="00FA7663" w14:paraId="4EF01478" w14:textId="77777777" w:rsidTr="00FA7663">
        <w:tc>
          <w:tcPr>
            <w:tcW w:w="2335" w:type="dxa"/>
          </w:tcPr>
          <w:p w14:paraId="2072929B" w14:textId="0C6DD1CE" w:rsidR="00FA7663" w:rsidRDefault="00FA7663" w:rsidP="00F201A9">
            <w:pPr>
              <w:jc w:val="center"/>
              <w:rPr>
                <w:rFonts w:ascii="AvenirNext LT Pro Regular" w:hAnsi="AvenirNext LT Pro Regular" w:cs="Tahoma"/>
                <w:sz w:val="20"/>
                <w:szCs w:val="20"/>
              </w:rPr>
            </w:pPr>
            <w:r>
              <w:rPr>
                <w:rFonts w:ascii="AvenirNext LT Pro Regular" w:hAnsi="AvenirNext LT Pro Regular" w:cs="Tahoma"/>
                <w:sz w:val="20"/>
                <w:szCs w:val="20"/>
              </w:rPr>
              <w:t>S&amp;P 500</w:t>
            </w:r>
          </w:p>
        </w:tc>
        <w:tc>
          <w:tcPr>
            <w:tcW w:w="2335" w:type="dxa"/>
          </w:tcPr>
          <w:p w14:paraId="666F17C7" w14:textId="7BCAE77D" w:rsidR="00FA7663" w:rsidRDefault="00F201A9" w:rsidP="00F201A9">
            <w:pPr>
              <w:jc w:val="center"/>
              <w:rPr>
                <w:rFonts w:ascii="AvenirNext LT Pro Regular" w:hAnsi="AvenirNext LT Pro Regular" w:cs="Tahoma"/>
                <w:sz w:val="20"/>
                <w:szCs w:val="20"/>
              </w:rPr>
            </w:pPr>
            <w:r>
              <w:rPr>
                <w:rFonts w:ascii="AvenirNext LT Pro Regular" w:hAnsi="AvenirNext LT Pro Regular" w:cs="Tahoma"/>
                <w:sz w:val="20"/>
                <w:szCs w:val="20"/>
              </w:rPr>
              <w:t>26.3%</w:t>
            </w:r>
          </w:p>
        </w:tc>
      </w:tr>
    </w:tbl>
    <w:p w14:paraId="6768F668" w14:textId="40DDAD1E" w:rsidR="00FA7663" w:rsidRPr="00F201A9" w:rsidRDefault="00F201A9" w:rsidP="009E28B6">
      <w:pPr>
        <w:jc w:val="both"/>
        <w:rPr>
          <w:rFonts w:ascii="AvenirNext LT Pro Regular" w:hAnsi="AvenirNext LT Pro Regular" w:cs="Tahoma"/>
          <w:sz w:val="16"/>
          <w:szCs w:val="16"/>
        </w:rPr>
      </w:pPr>
      <w:r w:rsidRPr="00F201A9">
        <w:rPr>
          <w:rFonts w:ascii="AvenirNext LT Pro Regular" w:hAnsi="AvenirNext LT Pro Regular" w:cs="Tahoma"/>
          <w:sz w:val="16"/>
          <w:szCs w:val="16"/>
        </w:rPr>
        <w:t>Source: Morningstar</w:t>
      </w:r>
    </w:p>
    <w:p w14:paraId="6A6C6B38" w14:textId="77777777" w:rsidR="00FA7663" w:rsidRDefault="00FA7663" w:rsidP="009E28B6">
      <w:pPr>
        <w:jc w:val="both"/>
        <w:rPr>
          <w:rFonts w:ascii="AvenirNext LT Pro Regular" w:hAnsi="AvenirNext LT Pro Regular" w:cs="Tahoma"/>
          <w:sz w:val="20"/>
          <w:szCs w:val="20"/>
        </w:rPr>
      </w:pPr>
    </w:p>
    <w:p w14:paraId="13F9C576" w14:textId="5E54BA77" w:rsidR="00F201A9" w:rsidRDefault="00672F1B" w:rsidP="009E28B6">
      <w:pPr>
        <w:jc w:val="both"/>
        <w:rPr>
          <w:rFonts w:ascii="AvenirNext LT Pro Regular" w:hAnsi="AvenirNext LT Pro Regular" w:cs="Tahoma"/>
          <w:sz w:val="20"/>
          <w:szCs w:val="20"/>
        </w:rPr>
      </w:pPr>
      <w:r>
        <w:rPr>
          <w:rFonts w:ascii="AvenirNext LT Pro Regular" w:hAnsi="AvenirNext LT Pro Regular" w:cs="Tahoma"/>
          <w:sz w:val="20"/>
          <w:szCs w:val="20"/>
        </w:rPr>
        <w:t>The seven stocks shown in Exhibit 2</w:t>
      </w:r>
      <w:r w:rsidR="00EE7543">
        <w:rPr>
          <w:rFonts w:ascii="AvenirNext LT Pro Regular" w:hAnsi="AvenirNext LT Pro Regular" w:cs="Tahoma"/>
          <w:sz w:val="20"/>
          <w:szCs w:val="20"/>
        </w:rPr>
        <w:t>,</w:t>
      </w:r>
      <w:r>
        <w:rPr>
          <w:rFonts w:ascii="AvenirNext LT Pro Regular" w:hAnsi="AvenirNext LT Pro Regular" w:cs="Tahoma"/>
          <w:sz w:val="20"/>
          <w:szCs w:val="20"/>
        </w:rPr>
        <w:t xml:space="preserve"> known as the Magnificent Seven, were the key drivers behind the overall success of the S&amp;P 500 in 2023.  </w:t>
      </w:r>
      <w:r w:rsidR="00F92057">
        <w:rPr>
          <w:rFonts w:ascii="AvenirNext LT Pro Regular" w:hAnsi="AvenirNext LT Pro Regular" w:cs="Tahoma"/>
          <w:sz w:val="20"/>
          <w:szCs w:val="20"/>
        </w:rPr>
        <w:t>These seven stocks had a combined 2023 return of 76.3%</w:t>
      </w:r>
      <w:r w:rsidR="00E0534F">
        <w:rPr>
          <w:rFonts w:ascii="AvenirNext LT Pro Regular" w:hAnsi="AvenirNext LT Pro Regular" w:cs="Tahoma"/>
          <w:sz w:val="20"/>
          <w:szCs w:val="20"/>
        </w:rPr>
        <w:t xml:space="preserve">, compared to the 13.7% return for the remaining stocks of the S&amp;P 500.  This is important </w:t>
      </w:r>
      <w:r w:rsidR="00CE35A2">
        <w:rPr>
          <w:rFonts w:ascii="AvenirNext LT Pro Regular" w:hAnsi="AvenirNext LT Pro Regular" w:cs="Tahoma"/>
          <w:sz w:val="20"/>
          <w:szCs w:val="20"/>
        </w:rPr>
        <w:t xml:space="preserve">because when investors see the return of the S&amp;P 500, they should know it is being driven by just a few names and not the broad market in general.  Plus, when a stock rally is broad, the overall health of the market </w:t>
      </w:r>
      <w:proofErr w:type="gramStart"/>
      <w:r w:rsidR="00CE35A2">
        <w:rPr>
          <w:rFonts w:ascii="AvenirNext LT Pro Regular" w:hAnsi="AvenirNext LT Pro Regular" w:cs="Tahoma"/>
          <w:sz w:val="20"/>
          <w:szCs w:val="20"/>
        </w:rPr>
        <w:t>is considered to be</w:t>
      </w:r>
      <w:proofErr w:type="gramEnd"/>
      <w:r w:rsidR="00CE35A2">
        <w:rPr>
          <w:rFonts w:ascii="AvenirNext LT Pro Regular" w:hAnsi="AvenirNext LT Pro Regular" w:cs="Tahoma"/>
          <w:sz w:val="20"/>
          <w:szCs w:val="20"/>
        </w:rPr>
        <w:t xml:space="preserve"> better.  </w:t>
      </w:r>
    </w:p>
    <w:p w14:paraId="61ECED33" w14:textId="29525013" w:rsidR="00CE35A2" w:rsidRDefault="00144662" w:rsidP="009E28B6">
      <w:pPr>
        <w:jc w:val="both"/>
        <w:rPr>
          <w:rFonts w:ascii="AvenirNext LT Pro Regular" w:hAnsi="AvenirNext LT Pro Regular" w:cs="Tahoma"/>
          <w:sz w:val="20"/>
          <w:szCs w:val="20"/>
        </w:rPr>
      </w:pPr>
      <w:r w:rsidRPr="00E40EC3">
        <w:rPr>
          <w:rFonts w:ascii="AvenirNext LT Pro Regular" w:hAnsi="AvenirNext LT Pro Regular" w:cs="Tahoma"/>
          <w:noProof/>
          <w:sz w:val="20"/>
          <w:szCs w:val="20"/>
        </w:rPr>
        <w:lastRenderedPageBreak/>
        <w:drawing>
          <wp:anchor distT="0" distB="0" distL="114300" distR="114300" simplePos="0" relativeHeight="251658242" behindDoc="0" locked="0" layoutInCell="1" allowOverlap="1" wp14:anchorId="2D57707C" wp14:editId="6CF9D541">
            <wp:simplePos x="0" y="0"/>
            <wp:positionH relativeFrom="margin">
              <wp:align>left</wp:align>
            </wp:positionH>
            <wp:positionV relativeFrom="paragraph">
              <wp:posOffset>341630</wp:posOffset>
            </wp:positionV>
            <wp:extent cx="4886325" cy="2389505"/>
            <wp:effectExtent l="19050" t="19050" r="28575" b="10795"/>
            <wp:wrapSquare wrapText="bothSides"/>
            <wp:docPr id="8" name="Picture 8" descr="A chart of different colored squares&#10;&#10;Description automatically generated with medium confidence">
              <a:extLst xmlns:a="http://schemas.openxmlformats.org/drawingml/2006/main">
                <a:ext uri="{FF2B5EF4-FFF2-40B4-BE49-F238E27FC236}">
                  <a16:creationId xmlns:a16="http://schemas.microsoft.com/office/drawing/2014/main" id="{79082501-56F6-87CE-ADCE-4B96D5CB23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hart of different colored squares&#10;&#10;Description automatically generated with medium confidence">
                      <a:extLst>
                        <a:ext uri="{FF2B5EF4-FFF2-40B4-BE49-F238E27FC236}">
                          <a16:creationId xmlns:a16="http://schemas.microsoft.com/office/drawing/2014/main" id="{79082501-56F6-87CE-ADCE-4B96D5CB236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886325" cy="23895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E167DC6" w14:textId="7FD1A921" w:rsidR="007723A9" w:rsidRDefault="007723A9" w:rsidP="007372F0">
      <w:pPr>
        <w:jc w:val="both"/>
        <w:rPr>
          <w:rFonts w:ascii="AvenirNext LT Pro Regular" w:hAnsi="AvenirNext LT Pro Regular" w:cs="Tahoma"/>
          <w:sz w:val="20"/>
          <w:szCs w:val="20"/>
        </w:rPr>
      </w:pPr>
      <w:r w:rsidRPr="005D6B4A">
        <w:rPr>
          <w:rFonts w:ascii="AvenirNext LT Pro Regular" w:hAnsi="AvenirNext LT Pro Regular" w:cs="Tahoma"/>
          <w:sz w:val="20"/>
          <w:szCs w:val="20"/>
        </w:rPr>
        <w:t xml:space="preserve">Exhibit </w:t>
      </w:r>
      <w:r w:rsidR="00E40EC3">
        <w:rPr>
          <w:rFonts w:ascii="AvenirNext LT Pro Regular" w:hAnsi="AvenirNext LT Pro Regular" w:cs="Tahoma"/>
          <w:sz w:val="20"/>
          <w:szCs w:val="20"/>
        </w:rPr>
        <w:t>3</w:t>
      </w:r>
    </w:p>
    <w:p w14:paraId="1114F91F" w14:textId="348DAC88" w:rsidR="00777B7D" w:rsidRDefault="00777B7D" w:rsidP="007372F0">
      <w:pPr>
        <w:jc w:val="both"/>
        <w:rPr>
          <w:rFonts w:ascii="AvenirNext LT Pro Regular" w:hAnsi="AvenirNext LT Pro Regular" w:cs="Tahoma"/>
          <w:sz w:val="20"/>
          <w:szCs w:val="20"/>
        </w:rPr>
      </w:pPr>
    </w:p>
    <w:p w14:paraId="29741D0E" w14:textId="56AE082E" w:rsidR="00BC1CC2" w:rsidRDefault="00BC1CC2" w:rsidP="00BC1CC2">
      <w:pPr>
        <w:jc w:val="both"/>
        <w:rPr>
          <w:rFonts w:ascii="AvenirNext LT Pro Regular" w:hAnsi="AvenirNext LT Pro Regular" w:cs="Tahoma"/>
          <w:sz w:val="20"/>
          <w:szCs w:val="20"/>
        </w:rPr>
      </w:pPr>
      <w:r w:rsidRPr="00BC1CC2">
        <w:rPr>
          <w:rFonts w:ascii="AvenirNext LT Pro Regular" w:hAnsi="AvenirNext LT Pro Regular" w:cs="Tahoma"/>
          <w:sz w:val="20"/>
          <w:szCs w:val="20"/>
        </w:rPr>
        <w:t>Just how big are the Magnificent Seven today?  They are so large that their combined market cap is roughly the same size as the equity markets of Japan, Canada, and the UK combined</w:t>
      </w:r>
      <w:r w:rsidR="00700AF6">
        <w:rPr>
          <w:rFonts w:ascii="AvenirNext LT Pro Regular" w:hAnsi="AvenirNext LT Pro Regular" w:cs="Tahoma"/>
          <w:sz w:val="20"/>
          <w:szCs w:val="20"/>
        </w:rPr>
        <w:t xml:space="preserve"> (Exhibit 3)</w:t>
      </w:r>
      <w:r w:rsidRPr="00BC1CC2">
        <w:rPr>
          <w:rFonts w:ascii="AvenirNext LT Pro Regular" w:hAnsi="AvenirNext LT Pro Regular" w:cs="Tahoma"/>
          <w:sz w:val="20"/>
          <w:szCs w:val="20"/>
        </w:rPr>
        <w:t>.</w:t>
      </w:r>
      <w:r>
        <w:rPr>
          <w:rFonts w:ascii="AvenirNext LT Pro Regular" w:hAnsi="AvenirNext LT Pro Regular" w:cs="Tahoma"/>
          <w:sz w:val="20"/>
          <w:szCs w:val="20"/>
        </w:rPr>
        <w:t xml:space="preserve">  </w:t>
      </w:r>
      <w:r w:rsidRPr="00BC1CC2">
        <w:rPr>
          <w:rFonts w:ascii="AvenirNext LT Pro Regular" w:hAnsi="AvenirNext LT Pro Regular" w:cs="Tahoma"/>
          <w:sz w:val="20"/>
          <w:szCs w:val="20"/>
        </w:rPr>
        <w:t xml:space="preserve">It is also important to think about the valuation of these </w:t>
      </w:r>
      <w:r w:rsidR="00873FF1">
        <w:rPr>
          <w:rFonts w:ascii="AvenirNext LT Pro Regular" w:hAnsi="AvenirNext LT Pro Regular" w:cs="Tahoma"/>
          <w:sz w:val="20"/>
          <w:szCs w:val="20"/>
        </w:rPr>
        <w:t>seven</w:t>
      </w:r>
      <w:r w:rsidRPr="00BC1CC2">
        <w:rPr>
          <w:rFonts w:ascii="AvenirNext LT Pro Regular" w:hAnsi="AvenirNext LT Pro Regular" w:cs="Tahoma"/>
          <w:sz w:val="20"/>
          <w:szCs w:val="20"/>
        </w:rPr>
        <w:t xml:space="preserve"> US large cap stocks.  Per JP Morgan, at year end these 7 stocks had a forward P/E ratio of 26.9x, vs. 19.5x for the S&amp;P 500 overall and 17.1x for the remaining stocks in the S&amp;P 500, suggesting these </w:t>
      </w:r>
      <w:r w:rsidR="00873FF1">
        <w:rPr>
          <w:rFonts w:ascii="AvenirNext LT Pro Regular" w:hAnsi="AvenirNext LT Pro Regular" w:cs="Tahoma"/>
          <w:sz w:val="20"/>
          <w:szCs w:val="20"/>
        </w:rPr>
        <w:t>seven</w:t>
      </w:r>
      <w:r w:rsidRPr="00BC1CC2">
        <w:rPr>
          <w:rFonts w:ascii="AvenirNext LT Pro Regular" w:hAnsi="AvenirNext LT Pro Regular" w:cs="Tahoma"/>
          <w:sz w:val="20"/>
          <w:szCs w:val="20"/>
        </w:rPr>
        <w:t xml:space="preserve"> stocks are overvalued vs. their peers.</w:t>
      </w:r>
      <w:r w:rsidR="002230A1">
        <w:rPr>
          <w:rFonts w:ascii="AvenirNext LT Pro Regular" w:hAnsi="AvenirNext LT Pro Regular" w:cs="Tahoma"/>
          <w:sz w:val="20"/>
          <w:szCs w:val="20"/>
        </w:rPr>
        <w:t xml:space="preserve">  It doesn’t mean they still can’t go </w:t>
      </w:r>
      <w:r w:rsidR="00144662">
        <w:rPr>
          <w:rFonts w:ascii="AvenirNext LT Pro Regular" w:hAnsi="AvenirNext LT Pro Regular" w:cs="Tahoma"/>
          <w:sz w:val="20"/>
          <w:szCs w:val="20"/>
        </w:rPr>
        <w:t>up;</w:t>
      </w:r>
      <w:r w:rsidR="002230A1">
        <w:rPr>
          <w:rFonts w:ascii="AvenirNext LT Pro Regular" w:hAnsi="AvenirNext LT Pro Regular" w:cs="Tahoma"/>
          <w:sz w:val="20"/>
          <w:szCs w:val="20"/>
        </w:rPr>
        <w:t xml:space="preserve"> it just means they appear to be overvalued.</w:t>
      </w:r>
    </w:p>
    <w:p w14:paraId="4BB42F8F" w14:textId="7F4F0C98" w:rsidR="005F4564" w:rsidRDefault="004506E5" w:rsidP="000B20C7">
      <w:pPr>
        <w:jc w:val="both"/>
        <w:rPr>
          <w:rFonts w:ascii="AvenirNext LT Pro Regular" w:hAnsi="AvenirNext LT Pro Regular" w:cs="Tahoma"/>
          <w:sz w:val="20"/>
          <w:szCs w:val="20"/>
        </w:rPr>
      </w:pPr>
      <w:r>
        <w:rPr>
          <w:rFonts w:ascii="AvenirNext LT Pro Regular" w:hAnsi="AvenirNext LT Pro Regular" w:cs="Tahoma"/>
          <w:sz w:val="20"/>
          <w:szCs w:val="20"/>
        </w:rPr>
        <w:t xml:space="preserve"> </w:t>
      </w:r>
      <w:r w:rsidR="00EF59C8">
        <w:rPr>
          <w:rFonts w:ascii="AvenirNext LT Pro Regular" w:hAnsi="AvenirNext LT Pro Regular" w:cs="Tahoma"/>
          <w:sz w:val="20"/>
          <w:szCs w:val="20"/>
        </w:rPr>
        <w:t xml:space="preserve"> </w:t>
      </w:r>
    </w:p>
    <w:p w14:paraId="5CF1997F" w14:textId="175A3495" w:rsidR="00CC7919" w:rsidRPr="00AA6AA6" w:rsidRDefault="001F448F" w:rsidP="00E80725">
      <w:pPr>
        <w:jc w:val="both"/>
        <w:rPr>
          <w:rFonts w:ascii="AvenirNext LT Pro Regular" w:hAnsi="AvenirNext LT Pro Regular" w:cs="Tahoma"/>
          <w:b/>
          <w:sz w:val="20"/>
          <w:szCs w:val="20"/>
          <w:u w:val="single"/>
        </w:rPr>
      </w:pPr>
      <w:r w:rsidRPr="00523557">
        <w:rPr>
          <w:rFonts w:ascii="AvenirNext LT Pro Regular" w:hAnsi="AvenirNext LT Pro Regular" w:cs="Tahoma"/>
          <w:b/>
          <w:sz w:val="20"/>
          <w:szCs w:val="20"/>
          <w:u w:val="single"/>
        </w:rPr>
        <w:t>N</w:t>
      </w:r>
      <w:r w:rsidR="007B0FA0" w:rsidRPr="00523557">
        <w:rPr>
          <w:rFonts w:ascii="AvenirNext LT Pro Regular" w:hAnsi="AvenirNext LT Pro Regular" w:cs="Tahoma"/>
          <w:b/>
          <w:sz w:val="20"/>
          <w:szCs w:val="20"/>
          <w:u w:val="single"/>
        </w:rPr>
        <w:t>on-U.S. Equity</w:t>
      </w:r>
    </w:p>
    <w:p w14:paraId="1E32EF84" w14:textId="36A25A58" w:rsidR="00E0694F" w:rsidRPr="00AA6AA6" w:rsidRDefault="00E0694F" w:rsidP="00E80725">
      <w:pPr>
        <w:jc w:val="both"/>
        <w:rPr>
          <w:rFonts w:ascii="AvenirNext LT Pro Regular" w:hAnsi="AvenirNext LT Pro Regular" w:cs="Tahoma"/>
          <w:sz w:val="20"/>
          <w:szCs w:val="20"/>
        </w:rPr>
      </w:pPr>
    </w:p>
    <w:p w14:paraId="667F08AD" w14:textId="77777777" w:rsidR="00411922" w:rsidRDefault="00A76A29" w:rsidP="00CA62E6">
      <w:pPr>
        <w:pStyle w:val="ListParagraph"/>
        <w:numPr>
          <w:ilvl w:val="0"/>
          <w:numId w:val="10"/>
        </w:numPr>
        <w:jc w:val="both"/>
        <w:rPr>
          <w:rFonts w:ascii="AvenirNext LT Pro Regular" w:hAnsi="AvenirNext LT Pro Regular" w:cs="Tahoma"/>
          <w:sz w:val="20"/>
          <w:szCs w:val="20"/>
        </w:rPr>
      </w:pPr>
      <w:r>
        <w:rPr>
          <w:rFonts w:ascii="AvenirNext LT Pro Regular" w:hAnsi="AvenirNext LT Pro Regular" w:cs="Tahoma"/>
          <w:sz w:val="20"/>
          <w:szCs w:val="20"/>
        </w:rPr>
        <w:t xml:space="preserve">Like </w:t>
      </w:r>
      <w:r w:rsidRPr="00A76A29">
        <w:rPr>
          <w:rFonts w:ascii="AvenirNext LT Pro Regular" w:hAnsi="AvenirNext LT Pro Regular" w:cs="Tahoma"/>
          <w:sz w:val="20"/>
          <w:szCs w:val="20"/>
        </w:rPr>
        <w:t>US</w:t>
      </w:r>
      <w:r>
        <w:rPr>
          <w:rFonts w:ascii="AvenirNext LT Pro Regular" w:hAnsi="AvenirNext LT Pro Regular" w:cs="Tahoma"/>
          <w:sz w:val="20"/>
          <w:szCs w:val="20"/>
        </w:rPr>
        <w:t xml:space="preserve"> stocks</w:t>
      </w:r>
      <w:r w:rsidRPr="00A76A29">
        <w:rPr>
          <w:rFonts w:ascii="AvenirNext LT Pro Regular" w:hAnsi="AvenirNext LT Pro Regular" w:cs="Tahoma"/>
          <w:sz w:val="20"/>
          <w:szCs w:val="20"/>
        </w:rPr>
        <w:t>, non-US stock returns were quite strong in Q4 and for the year.</w:t>
      </w:r>
    </w:p>
    <w:p w14:paraId="74BA7CA1" w14:textId="67B63344" w:rsidR="00411922" w:rsidRDefault="00411922" w:rsidP="00CA62E6">
      <w:pPr>
        <w:pStyle w:val="ListParagraph"/>
        <w:numPr>
          <w:ilvl w:val="0"/>
          <w:numId w:val="10"/>
        </w:numPr>
        <w:jc w:val="both"/>
        <w:rPr>
          <w:rFonts w:ascii="AvenirNext LT Pro Regular" w:hAnsi="AvenirNext LT Pro Regular" w:cs="Tahoma"/>
          <w:sz w:val="20"/>
          <w:szCs w:val="20"/>
        </w:rPr>
      </w:pPr>
      <w:r>
        <w:rPr>
          <w:rFonts w:ascii="AvenirNext LT Pro Regular" w:hAnsi="AvenirNext LT Pro Regular" w:cs="Tahoma"/>
          <w:sz w:val="20"/>
          <w:szCs w:val="20"/>
        </w:rPr>
        <w:t xml:space="preserve">Unlike US stocks, the </w:t>
      </w:r>
      <w:r w:rsidR="00AA5680">
        <w:rPr>
          <w:rFonts w:ascii="AvenirNext LT Pro Regular" w:hAnsi="AvenirNext LT Pro Regular" w:cs="Tahoma"/>
          <w:sz w:val="20"/>
          <w:szCs w:val="20"/>
        </w:rPr>
        <w:t>rally in international stock markets was broader.</w:t>
      </w:r>
    </w:p>
    <w:p w14:paraId="2598E613" w14:textId="43E9A061" w:rsidR="00CA62E6" w:rsidRDefault="00CA62E6" w:rsidP="00CA62E6">
      <w:pPr>
        <w:pStyle w:val="ListParagraph"/>
        <w:numPr>
          <w:ilvl w:val="0"/>
          <w:numId w:val="10"/>
        </w:numPr>
        <w:jc w:val="both"/>
        <w:rPr>
          <w:rFonts w:ascii="AvenirNext LT Pro Regular" w:hAnsi="AvenirNext LT Pro Regular" w:cs="Tahoma"/>
          <w:sz w:val="20"/>
          <w:szCs w:val="20"/>
        </w:rPr>
      </w:pPr>
      <w:r>
        <w:rPr>
          <w:rFonts w:ascii="AvenirNext LT Pro Regular" w:hAnsi="AvenirNext LT Pro Regular" w:cs="Tahoma"/>
          <w:sz w:val="20"/>
          <w:szCs w:val="20"/>
        </w:rPr>
        <w:t xml:space="preserve">Non-US developed large cap stocks underperformed their US counterparts over the quarter, </w:t>
      </w:r>
      <w:r w:rsidR="00B35E4D">
        <w:rPr>
          <w:rFonts w:ascii="AvenirNext LT Pro Regular" w:hAnsi="AvenirNext LT Pro Regular" w:cs="Tahoma"/>
          <w:sz w:val="20"/>
          <w:szCs w:val="20"/>
        </w:rPr>
        <w:t>but</w:t>
      </w:r>
      <w:r>
        <w:rPr>
          <w:rFonts w:ascii="AvenirNext LT Pro Regular" w:hAnsi="AvenirNext LT Pro Regular" w:cs="Tahoma"/>
          <w:sz w:val="20"/>
          <w:szCs w:val="20"/>
        </w:rPr>
        <w:t xml:space="preserve"> non-US developed small cap stocks </w:t>
      </w:r>
      <w:r w:rsidR="0070415D">
        <w:rPr>
          <w:rFonts w:ascii="AvenirNext LT Pro Regular" w:hAnsi="AvenirNext LT Pro Regular" w:cs="Tahoma"/>
          <w:sz w:val="20"/>
          <w:szCs w:val="20"/>
        </w:rPr>
        <w:t>outperformed</w:t>
      </w:r>
      <w:r w:rsidR="00A450BF">
        <w:rPr>
          <w:rFonts w:ascii="AvenirNext LT Pro Regular" w:hAnsi="AvenirNext LT Pro Regular" w:cs="Tahoma"/>
          <w:sz w:val="20"/>
          <w:szCs w:val="20"/>
        </w:rPr>
        <w:t xml:space="preserve"> </w:t>
      </w:r>
      <w:r w:rsidR="002E7D73">
        <w:rPr>
          <w:rFonts w:ascii="AvenirNext LT Pro Regular" w:hAnsi="AvenirNext LT Pro Regular" w:cs="Tahoma"/>
          <w:sz w:val="20"/>
          <w:szCs w:val="20"/>
        </w:rPr>
        <w:t>US small caps</w:t>
      </w:r>
      <w:r w:rsidR="00761527">
        <w:rPr>
          <w:rFonts w:ascii="AvenirNext LT Pro Regular" w:hAnsi="AvenirNext LT Pro Regular" w:cs="Tahoma"/>
          <w:sz w:val="20"/>
          <w:szCs w:val="20"/>
        </w:rPr>
        <w:t>.</w:t>
      </w:r>
    </w:p>
    <w:p w14:paraId="491DC928" w14:textId="77777777" w:rsidR="00DE757E" w:rsidRDefault="00DE757E" w:rsidP="008D656E">
      <w:pPr>
        <w:jc w:val="both"/>
        <w:rPr>
          <w:rFonts w:ascii="AvenirNext LT Pro Regular" w:hAnsi="AvenirNext LT Pro Regular" w:cs="Tahoma"/>
          <w:sz w:val="20"/>
          <w:szCs w:val="20"/>
        </w:rPr>
      </w:pPr>
    </w:p>
    <w:p w14:paraId="46608A17" w14:textId="77777777" w:rsidR="00364E40" w:rsidRDefault="00364E40" w:rsidP="00364E40">
      <w:pPr>
        <w:jc w:val="both"/>
        <w:rPr>
          <w:rFonts w:ascii="AvenirNext LT Pro Regular" w:hAnsi="AvenirNext LT Pro Regular" w:cs="Tahoma"/>
          <w:sz w:val="20"/>
          <w:szCs w:val="20"/>
        </w:rPr>
      </w:pPr>
      <w:r w:rsidRPr="00364E40">
        <w:rPr>
          <w:rFonts w:ascii="AvenirNext LT Pro Regular" w:hAnsi="AvenirNext LT Pro Regular" w:cs="Tahoma"/>
          <w:sz w:val="20"/>
          <w:szCs w:val="20"/>
        </w:rPr>
        <w:t xml:space="preserve">Unlike the S&amp;P 500, whose return is dominated by just a few stocks, international indexes are currently more balanced and diversified.  The top ten stocks in the MSCI World ex-US IMI returned 18.3% during 2023, while the remaining stocks generated a very similar return of 18.0%.  </w:t>
      </w:r>
    </w:p>
    <w:p w14:paraId="3A158374" w14:textId="77777777" w:rsidR="00014EC7" w:rsidRDefault="00014EC7" w:rsidP="00364E40">
      <w:pPr>
        <w:jc w:val="both"/>
        <w:rPr>
          <w:rFonts w:ascii="AvenirNext LT Pro Regular" w:hAnsi="AvenirNext LT Pro Regular" w:cs="Tahoma"/>
          <w:sz w:val="20"/>
          <w:szCs w:val="20"/>
        </w:rPr>
      </w:pPr>
    </w:p>
    <w:p w14:paraId="66CAD0E4" w14:textId="75934CC7" w:rsidR="00FB3819" w:rsidRDefault="00FB3819" w:rsidP="00364E40">
      <w:pPr>
        <w:jc w:val="both"/>
        <w:rPr>
          <w:rFonts w:ascii="AvenirNext LT Pro Regular" w:hAnsi="AvenirNext LT Pro Regular" w:cs="Tahoma"/>
          <w:sz w:val="20"/>
          <w:szCs w:val="20"/>
        </w:rPr>
      </w:pPr>
      <w:r>
        <w:rPr>
          <w:rFonts w:ascii="AvenirNext LT Pro Regular" w:hAnsi="AvenirNext LT Pro Regular" w:cs="Tahoma"/>
          <w:sz w:val="20"/>
          <w:szCs w:val="20"/>
        </w:rPr>
        <w:t>Exhibit 4</w:t>
      </w:r>
    </w:p>
    <w:tbl>
      <w:tblPr>
        <w:tblStyle w:val="TableGrid"/>
        <w:tblW w:w="0" w:type="auto"/>
        <w:tblLook w:val="04A0" w:firstRow="1" w:lastRow="0" w:firstColumn="1" w:lastColumn="0" w:noHBand="0" w:noVBand="1"/>
      </w:tblPr>
      <w:tblGrid>
        <w:gridCol w:w="1255"/>
        <w:gridCol w:w="1350"/>
        <w:gridCol w:w="1260"/>
      </w:tblGrid>
      <w:tr w:rsidR="00FB3819" w14:paraId="40B17BCC" w14:textId="77777777" w:rsidTr="00765C90">
        <w:tc>
          <w:tcPr>
            <w:tcW w:w="1255" w:type="dxa"/>
          </w:tcPr>
          <w:p w14:paraId="3F72E12B" w14:textId="77777777" w:rsidR="00FB3819" w:rsidRDefault="00FB3819" w:rsidP="00364E40">
            <w:pPr>
              <w:jc w:val="both"/>
              <w:rPr>
                <w:rFonts w:ascii="AvenirNext LT Pro Regular" w:hAnsi="AvenirNext LT Pro Regular" w:cs="Tahoma"/>
                <w:sz w:val="20"/>
                <w:szCs w:val="20"/>
              </w:rPr>
            </w:pPr>
          </w:p>
        </w:tc>
        <w:tc>
          <w:tcPr>
            <w:tcW w:w="1350" w:type="dxa"/>
          </w:tcPr>
          <w:p w14:paraId="3534F7D4" w14:textId="43FB63A4" w:rsidR="00FB3819" w:rsidRDefault="00765C90" w:rsidP="00765C90">
            <w:pPr>
              <w:jc w:val="center"/>
              <w:rPr>
                <w:rFonts w:ascii="AvenirNext LT Pro Regular" w:hAnsi="AvenirNext LT Pro Regular" w:cs="Tahoma"/>
                <w:sz w:val="20"/>
                <w:szCs w:val="20"/>
              </w:rPr>
            </w:pPr>
            <w:r>
              <w:rPr>
                <w:rFonts w:ascii="AvenirNext LT Pro Regular" w:hAnsi="AvenirNext LT Pro Regular" w:cs="Tahoma"/>
                <w:sz w:val="20"/>
                <w:szCs w:val="20"/>
              </w:rPr>
              <w:t>20-yr avg. P/E ratio</w:t>
            </w:r>
          </w:p>
        </w:tc>
        <w:tc>
          <w:tcPr>
            <w:tcW w:w="1260" w:type="dxa"/>
          </w:tcPr>
          <w:p w14:paraId="4C144540" w14:textId="2D913F82" w:rsidR="00FB3819" w:rsidRDefault="00765C90" w:rsidP="00765C90">
            <w:pPr>
              <w:jc w:val="center"/>
              <w:rPr>
                <w:rFonts w:ascii="AvenirNext LT Pro Regular" w:hAnsi="AvenirNext LT Pro Regular" w:cs="Tahoma"/>
                <w:sz w:val="20"/>
                <w:szCs w:val="20"/>
              </w:rPr>
            </w:pPr>
            <w:r>
              <w:rPr>
                <w:rFonts w:ascii="AvenirNext LT Pro Regular" w:hAnsi="AvenirNext LT Pro Regular" w:cs="Tahoma"/>
                <w:sz w:val="20"/>
                <w:szCs w:val="20"/>
              </w:rPr>
              <w:t>Current P/E ratio</w:t>
            </w:r>
          </w:p>
        </w:tc>
      </w:tr>
      <w:tr w:rsidR="00FB3819" w14:paraId="2632F95A" w14:textId="77777777" w:rsidTr="00765C90">
        <w:tc>
          <w:tcPr>
            <w:tcW w:w="1255" w:type="dxa"/>
          </w:tcPr>
          <w:p w14:paraId="73E708E3" w14:textId="0FFEC6DF" w:rsidR="00FB3819" w:rsidRDefault="00FB3819" w:rsidP="00364E40">
            <w:pPr>
              <w:jc w:val="both"/>
              <w:rPr>
                <w:rFonts w:ascii="AvenirNext LT Pro Regular" w:hAnsi="AvenirNext LT Pro Regular" w:cs="Tahoma"/>
                <w:sz w:val="20"/>
                <w:szCs w:val="20"/>
              </w:rPr>
            </w:pPr>
            <w:r>
              <w:rPr>
                <w:rFonts w:ascii="AvenirNext LT Pro Regular" w:hAnsi="AvenirNext LT Pro Regular" w:cs="Tahoma"/>
                <w:sz w:val="20"/>
                <w:szCs w:val="20"/>
              </w:rPr>
              <w:t>S&amp;P 500</w:t>
            </w:r>
          </w:p>
        </w:tc>
        <w:tc>
          <w:tcPr>
            <w:tcW w:w="1350" w:type="dxa"/>
          </w:tcPr>
          <w:p w14:paraId="014CED1F" w14:textId="22996EF0" w:rsidR="00FB3819" w:rsidRDefault="005242D5" w:rsidP="00765C90">
            <w:pPr>
              <w:jc w:val="center"/>
              <w:rPr>
                <w:rFonts w:ascii="AvenirNext LT Pro Regular" w:hAnsi="AvenirNext LT Pro Regular" w:cs="Tahoma"/>
                <w:sz w:val="20"/>
                <w:szCs w:val="20"/>
              </w:rPr>
            </w:pPr>
            <w:r>
              <w:rPr>
                <w:rFonts w:ascii="AvenirNext LT Pro Regular" w:hAnsi="AvenirNext LT Pro Regular" w:cs="Tahoma"/>
                <w:sz w:val="20"/>
                <w:szCs w:val="20"/>
              </w:rPr>
              <w:t>15.6x</w:t>
            </w:r>
          </w:p>
        </w:tc>
        <w:tc>
          <w:tcPr>
            <w:tcW w:w="1260" w:type="dxa"/>
          </w:tcPr>
          <w:p w14:paraId="7F316D17" w14:textId="3BFFC800" w:rsidR="00FB3819" w:rsidRDefault="005242D5" w:rsidP="00765C90">
            <w:pPr>
              <w:jc w:val="center"/>
              <w:rPr>
                <w:rFonts w:ascii="AvenirNext LT Pro Regular" w:hAnsi="AvenirNext LT Pro Regular" w:cs="Tahoma"/>
                <w:sz w:val="20"/>
                <w:szCs w:val="20"/>
              </w:rPr>
            </w:pPr>
            <w:r>
              <w:rPr>
                <w:rFonts w:ascii="AvenirNext LT Pro Regular" w:hAnsi="AvenirNext LT Pro Regular" w:cs="Tahoma"/>
                <w:sz w:val="20"/>
                <w:szCs w:val="20"/>
              </w:rPr>
              <w:t>19.5x</w:t>
            </w:r>
          </w:p>
        </w:tc>
      </w:tr>
      <w:tr w:rsidR="00FB3819" w14:paraId="2C431801" w14:textId="77777777" w:rsidTr="00765C90">
        <w:tc>
          <w:tcPr>
            <w:tcW w:w="1255" w:type="dxa"/>
          </w:tcPr>
          <w:p w14:paraId="0C94C997" w14:textId="0D0B277D" w:rsidR="00FB3819" w:rsidRDefault="00FB3819" w:rsidP="00364E40">
            <w:pPr>
              <w:jc w:val="both"/>
              <w:rPr>
                <w:rFonts w:ascii="AvenirNext LT Pro Regular" w:hAnsi="AvenirNext LT Pro Regular" w:cs="Tahoma"/>
                <w:sz w:val="20"/>
                <w:szCs w:val="20"/>
              </w:rPr>
            </w:pPr>
            <w:r>
              <w:rPr>
                <w:rFonts w:ascii="AvenirNext LT Pro Regular" w:hAnsi="AvenirNext LT Pro Regular" w:cs="Tahoma"/>
                <w:sz w:val="20"/>
                <w:szCs w:val="20"/>
              </w:rPr>
              <w:t>ACWI ex-US</w:t>
            </w:r>
          </w:p>
        </w:tc>
        <w:tc>
          <w:tcPr>
            <w:tcW w:w="1350" w:type="dxa"/>
          </w:tcPr>
          <w:p w14:paraId="43065BCE" w14:textId="270AC780" w:rsidR="00FB3819" w:rsidRDefault="005242D5" w:rsidP="00765C90">
            <w:pPr>
              <w:jc w:val="center"/>
              <w:rPr>
                <w:rFonts w:ascii="AvenirNext LT Pro Regular" w:hAnsi="AvenirNext LT Pro Regular" w:cs="Tahoma"/>
                <w:sz w:val="20"/>
                <w:szCs w:val="20"/>
              </w:rPr>
            </w:pPr>
            <w:r>
              <w:rPr>
                <w:rFonts w:ascii="AvenirNext LT Pro Regular" w:hAnsi="AvenirNext LT Pro Regular" w:cs="Tahoma"/>
                <w:sz w:val="20"/>
                <w:szCs w:val="20"/>
              </w:rPr>
              <w:t>13.1x</w:t>
            </w:r>
          </w:p>
        </w:tc>
        <w:tc>
          <w:tcPr>
            <w:tcW w:w="1260" w:type="dxa"/>
          </w:tcPr>
          <w:p w14:paraId="65FCBF48" w14:textId="4BD04CC5" w:rsidR="00FB3819" w:rsidRDefault="005242D5" w:rsidP="00765C90">
            <w:pPr>
              <w:jc w:val="center"/>
              <w:rPr>
                <w:rFonts w:ascii="AvenirNext LT Pro Regular" w:hAnsi="AvenirNext LT Pro Regular" w:cs="Tahoma"/>
                <w:sz w:val="20"/>
                <w:szCs w:val="20"/>
              </w:rPr>
            </w:pPr>
            <w:r>
              <w:rPr>
                <w:rFonts w:ascii="AvenirNext LT Pro Regular" w:hAnsi="AvenirNext LT Pro Regular" w:cs="Tahoma"/>
                <w:sz w:val="20"/>
                <w:szCs w:val="20"/>
              </w:rPr>
              <w:t>12.9x</w:t>
            </w:r>
          </w:p>
        </w:tc>
      </w:tr>
    </w:tbl>
    <w:p w14:paraId="179FDB44" w14:textId="29912C84" w:rsidR="00FB3819" w:rsidRDefault="005242D5" w:rsidP="00364E40">
      <w:pPr>
        <w:jc w:val="both"/>
        <w:rPr>
          <w:rFonts w:ascii="AvenirNext LT Pro Regular" w:hAnsi="AvenirNext LT Pro Regular" w:cs="Tahoma"/>
          <w:sz w:val="20"/>
          <w:szCs w:val="20"/>
        </w:rPr>
      </w:pPr>
      <w:r>
        <w:rPr>
          <w:rFonts w:ascii="AvenirNext LT Pro Regular" w:hAnsi="AvenirNext LT Pro Regular" w:cs="Tahoma"/>
          <w:sz w:val="20"/>
          <w:szCs w:val="20"/>
        </w:rPr>
        <w:t xml:space="preserve">Source: </w:t>
      </w:r>
      <w:proofErr w:type="spellStart"/>
      <w:r>
        <w:rPr>
          <w:rFonts w:ascii="AvenirNext LT Pro Regular" w:hAnsi="AvenirNext LT Pro Regular" w:cs="Tahoma"/>
          <w:sz w:val="20"/>
          <w:szCs w:val="20"/>
        </w:rPr>
        <w:t>Facstet</w:t>
      </w:r>
      <w:proofErr w:type="spellEnd"/>
      <w:r>
        <w:rPr>
          <w:rFonts w:ascii="AvenirNext LT Pro Regular" w:hAnsi="AvenirNext LT Pro Regular" w:cs="Tahoma"/>
          <w:sz w:val="20"/>
          <w:szCs w:val="20"/>
        </w:rPr>
        <w:t>, MSCI</w:t>
      </w:r>
      <w:r w:rsidR="001E4F95">
        <w:rPr>
          <w:rFonts w:ascii="AvenirNext LT Pro Regular" w:hAnsi="AvenirNext LT Pro Regular" w:cs="Tahoma"/>
          <w:sz w:val="20"/>
          <w:szCs w:val="20"/>
        </w:rPr>
        <w:t>, S&amp;P, JP Morgan Asset Management, Data as of 12/31/2023</w:t>
      </w:r>
    </w:p>
    <w:p w14:paraId="52037421" w14:textId="77777777" w:rsidR="00FB3819" w:rsidRDefault="00FB3819" w:rsidP="00364E40">
      <w:pPr>
        <w:jc w:val="both"/>
        <w:rPr>
          <w:rFonts w:ascii="AvenirNext LT Pro Regular" w:hAnsi="AvenirNext LT Pro Regular" w:cs="Tahoma"/>
          <w:sz w:val="20"/>
          <w:szCs w:val="20"/>
        </w:rPr>
      </w:pPr>
    </w:p>
    <w:p w14:paraId="73648185" w14:textId="77777777" w:rsidR="00FB3819" w:rsidRDefault="00FB3819" w:rsidP="004B39C5">
      <w:pPr>
        <w:jc w:val="both"/>
        <w:rPr>
          <w:rFonts w:ascii="AvenirNext LT Pro Regular" w:hAnsi="AvenirNext LT Pro Regular" w:cs="Tahoma"/>
          <w:sz w:val="20"/>
          <w:szCs w:val="20"/>
        </w:rPr>
      </w:pPr>
    </w:p>
    <w:p w14:paraId="782D1BAF" w14:textId="67392774" w:rsidR="004B39C5" w:rsidRPr="004B39C5" w:rsidRDefault="004B39C5" w:rsidP="004B39C5">
      <w:pPr>
        <w:jc w:val="both"/>
        <w:rPr>
          <w:rFonts w:ascii="AvenirNext LT Pro Regular" w:hAnsi="AvenirNext LT Pro Regular" w:cs="Tahoma"/>
          <w:sz w:val="20"/>
          <w:szCs w:val="20"/>
        </w:rPr>
      </w:pPr>
      <w:r w:rsidRPr="004B39C5">
        <w:rPr>
          <w:rFonts w:ascii="AvenirNext LT Pro Regular" w:hAnsi="AvenirNext LT Pro Regular" w:cs="Tahoma"/>
          <w:sz w:val="20"/>
          <w:szCs w:val="20"/>
        </w:rPr>
        <w:t>A common question</w:t>
      </w:r>
      <w:r>
        <w:rPr>
          <w:rFonts w:ascii="AvenirNext LT Pro Regular" w:hAnsi="AvenirNext LT Pro Regular" w:cs="Tahoma"/>
          <w:sz w:val="20"/>
          <w:szCs w:val="20"/>
        </w:rPr>
        <w:t xml:space="preserve"> we receive </w:t>
      </w:r>
      <w:r w:rsidRPr="004B39C5">
        <w:rPr>
          <w:rFonts w:ascii="AvenirNext LT Pro Regular" w:hAnsi="AvenirNext LT Pro Regular" w:cs="Tahoma"/>
          <w:sz w:val="20"/>
          <w:szCs w:val="20"/>
        </w:rPr>
        <w:t xml:space="preserve">is “why should we own non-US stocks when US stocks have outperformed non-US stocks for most of the last decade or so?” One reason why we like </w:t>
      </w:r>
      <w:r w:rsidR="00211CA5" w:rsidRPr="004B39C5">
        <w:rPr>
          <w:rFonts w:ascii="AvenirNext LT Pro Regular" w:hAnsi="AvenirNext LT Pro Regular" w:cs="Tahoma"/>
          <w:sz w:val="20"/>
          <w:szCs w:val="20"/>
        </w:rPr>
        <w:t>in</w:t>
      </w:r>
      <w:r w:rsidR="00211CA5">
        <w:rPr>
          <w:rFonts w:ascii="AvenirNext LT Pro Regular" w:hAnsi="AvenirNext LT Pro Regular" w:cs="Tahoma"/>
          <w:sz w:val="20"/>
          <w:szCs w:val="20"/>
        </w:rPr>
        <w:t xml:space="preserve">ternational </w:t>
      </w:r>
      <w:r w:rsidRPr="004B39C5">
        <w:rPr>
          <w:rFonts w:ascii="AvenirNext LT Pro Regular" w:hAnsi="AvenirNext LT Pro Regular" w:cs="Tahoma"/>
          <w:sz w:val="20"/>
          <w:szCs w:val="20"/>
        </w:rPr>
        <w:t xml:space="preserve">stocks is for diversification.  While US stocks have outperformed more recently, that hasn’t always been the case.  In fact, you only need to go back to the 2000’s to find the last period when </w:t>
      </w:r>
      <w:r w:rsidR="00B660F2">
        <w:rPr>
          <w:rFonts w:ascii="AvenirNext LT Pro Regular" w:hAnsi="AvenirNext LT Pro Regular" w:cs="Tahoma"/>
          <w:sz w:val="20"/>
          <w:szCs w:val="20"/>
        </w:rPr>
        <w:t xml:space="preserve">international </w:t>
      </w:r>
      <w:r w:rsidRPr="004B39C5">
        <w:rPr>
          <w:rFonts w:ascii="AvenirNext LT Pro Regular" w:hAnsi="AvenirNext LT Pro Regular" w:cs="Tahoma"/>
          <w:sz w:val="20"/>
          <w:szCs w:val="20"/>
        </w:rPr>
        <w:t>stocks outperformed.  Remember the “lost decade” when the S&amp;P 500 earned almost no return?</w:t>
      </w:r>
      <w:r w:rsidR="00B660F2">
        <w:rPr>
          <w:rFonts w:ascii="AvenirNext LT Pro Regular" w:hAnsi="AvenirNext LT Pro Regular" w:cs="Tahoma"/>
          <w:sz w:val="20"/>
          <w:szCs w:val="20"/>
        </w:rPr>
        <w:t xml:space="preserve">  Plus, </w:t>
      </w:r>
      <w:r w:rsidR="00357DFE">
        <w:rPr>
          <w:rFonts w:ascii="AvenirNext LT Pro Regular" w:hAnsi="AvenirNext LT Pro Regular" w:cs="Tahoma"/>
          <w:sz w:val="20"/>
          <w:szCs w:val="20"/>
        </w:rPr>
        <w:t xml:space="preserve">we also know </w:t>
      </w:r>
      <w:r w:rsidRPr="004B39C5">
        <w:rPr>
          <w:rFonts w:ascii="AvenirNext LT Pro Regular" w:hAnsi="AvenirNext LT Pro Regular" w:cs="Tahoma"/>
          <w:sz w:val="20"/>
          <w:szCs w:val="20"/>
        </w:rPr>
        <w:t xml:space="preserve">the US Dollar is relatively strong vs. a basket of other </w:t>
      </w:r>
      <w:r w:rsidR="00D34883">
        <w:rPr>
          <w:rFonts w:ascii="AvenirNext LT Pro Regular" w:hAnsi="AvenirNext LT Pro Regular" w:cs="Tahoma"/>
          <w:sz w:val="20"/>
          <w:szCs w:val="20"/>
        </w:rPr>
        <w:t xml:space="preserve">major world </w:t>
      </w:r>
      <w:r w:rsidRPr="004B39C5">
        <w:rPr>
          <w:rFonts w:ascii="AvenirNext LT Pro Regular" w:hAnsi="AvenirNext LT Pro Regular" w:cs="Tahoma"/>
          <w:sz w:val="20"/>
          <w:szCs w:val="20"/>
        </w:rPr>
        <w:t>currencies.  If the USD were to weaken, it would be a tailwind for non-US stocks</w:t>
      </w:r>
      <w:r w:rsidR="00E9652F">
        <w:rPr>
          <w:rFonts w:ascii="AvenirNext LT Pro Regular" w:hAnsi="AvenirNext LT Pro Regular" w:cs="Tahoma"/>
          <w:sz w:val="20"/>
          <w:szCs w:val="20"/>
        </w:rPr>
        <w:t xml:space="preserve"> denominated in those currencies</w:t>
      </w:r>
      <w:r w:rsidRPr="004B39C5">
        <w:rPr>
          <w:rFonts w:ascii="AvenirNext LT Pro Regular" w:hAnsi="AvenirNext LT Pro Regular" w:cs="Tahoma"/>
          <w:sz w:val="20"/>
          <w:szCs w:val="20"/>
        </w:rPr>
        <w:t>.</w:t>
      </w:r>
      <w:r w:rsidR="00A1711C">
        <w:rPr>
          <w:rFonts w:ascii="AvenirNext LT Pro Regular" w:hAnsi="AvenirNext LT Pro Regular" w:cs="Tahoma"/>
          <w:sz w:val="20"/>
          <w:szCs w:val="20"/>
        </w:rPr>
        <w:t xml:space="preserve"> F</w:t>
      </w:r>
      <w:r w:rsidRPr="004B39C5">
        <w:rPr>
          <w:rFonts w:ascii="AvenirNext LT Pro Regular" w:hAnsi="AvenirNext LT Pro Regular" w:cs="Tahoma"/>
          <w:sz w:val="20"/>
          <w:szCs w:val="20"/>
        </w:rPr>
        <w:t xml:space="preserve">inally, as </w:t>
      </w:r>
      <w:r w:rsidR="0002327C">
        <w:rPr>
          <w:rFonts w:ascii="AvenirNext LT Pro Regular" w:hAnsi="AvenirNext LT Pro Regular" w:cs="Tahoma"/>
          <w:sz w:val="20"/>
          <w:szCs w:val="20"/>
        </w:rPr>
        <w:t>Exhibit 4</w:t>
      </w:r>
      <w:r w:rsidRPr="004B39C5">
        <w:rPr>
          <w:rFonts w:ascii="AvenirNext LT Pro Regular" w:hAnsi="AvenirNext LT Pro Regular" w:cs="Tahoma"/>
          <w:sz w:val="20"/>
          <w:szCs w:val="20"/>
        </w:rPr>
        <w:t xml:space="preserve"> shows, not only are most non-US stocks currently undervalued vs. their last </w:t>
      </w:r>
      <w:r w:rsidR="00D6405E" w:rsidRPr="004B39C5">
        <w:rPr>
          <w:rFonts w:ascii="AvenirNext LT Pro Regular" w:hAnsi="AvenirNext LT Pro Regular" w:cs="Tahoma"/>
          <w:sz w:val="20"/>
          <w:szCs w:val="20"/>
        </w:rPr>
        <w:t>2</w:t>
      </w:r>
      <w:r w:rsidR="00D6405E">
        <w:rPr>
          <w:rFonts w:ascii="AvenirNext LT Pro Regular" w:hAnsi="AvenirNext LT Pro Regular" w:cs="Tahoma"/>
          <w:sz w:val="20"/>
          <w:szCs w:val="20"/>
        </w:rPr>
        <w:t>0</w:t>
      </w:r>
      <w:r w:rsidR="00D6405E" w:rsidRPr="004B39C5">
        <w:rPr>
          <w:rFonts w:ascii="AvenirNext LT Pro Regular" w:hAnsi="AvenirNext LT Pro Regular" w:cs="Tahoma"/>
          <w:sz w:val="20"/>
          <w:szCs w:val="20"/>
        </w:rPr>
        <w:t>-year</w:t>
      </w:r>
      <w:r w:rsidRPr="004B39C5">
        <w:rPr>
          <w:rFonts w:ascii="AvenirNext LT Pro Regular" w:hAnsi="AvenirNext LT Pro Regular" w:cs="Tahoma"/>
          <w:sz w:val="20"/>
          <w:szCs w:val="20"/>
        </w:rPr>
        <w:t xml:space="preserve"> averages, </w:t>
      </w:r>
      <w:proofErr w:type="gramStart"/>
      <w:r w:rsidRPr="004B39C5">
        <w:rPr>
          <w:rFonts w:ascii="AvenirNext LT Pro Regular" w:hAnsi="AvenirNext LT Pro Regular" w:cs="Tahoma"/>
          <w:sz w:val="20"/>
          <w:szCs w:val="20"/>
        </w:rPr>
        <w:t>they</w:t>
      </w:r>
      <w:proofErr w:type="gramEnd"/>
      <w:r w:rsidRPr="004B39C5">
        <w:rPr>
          <w:rFonts w:ascii="AvenirNext LT Pro Regular" w:hAnsi="AvenirNext LT Pro Regular" w:cs="Tahoma"/>
          <w:sz w:val="20"/>
          <w:szCs w:val="20"/>
        </w:rPr>
        <w:t xml:space="preserve"> are also well undervalued relative to US stocks, which are currently overvalued vs. their </w:t>
      </w:r>
      <w:r w:rsidR="00FB33F6">
        <w:rPr>
          <w:rFonts w:ascii="AvenirNext LT Pro Regular" w:hAnsi="AvenirNext LT Pro Regular" w:cs="Tahoma"/>
          <w:sz w:val="20"/>
          <w:szCs w:val="20"/>
        </w:rPr>
        <w:t xml:space="preserve">own </w:t>
      </w:r>
      <w:r w:rsidRPr="004B39C5">
        <w:rPr>
          <w:rFonts w:ascii="AvenirNext LT Pro Regular" w:hAnsi="AvenirNext LT Pro Regular" w:cs="Tahoma"/>
          <w:sz w:val="20"/>
          <w:szCs w:val="20"/>
        </w:rPr>
        <w:t>2</w:t>
      </w:r>
      <w:r w:rsidR="00D6405E">
        <w:rPr>
          <w:rFonts w:ascii="AvenirNext LT Pro Regular" w:hAnsi="AvenirNext LT Pro Regular" w:cs="Tahoma"/>
          <w:sz w:val="20"/>
          <w:szCs w:val="20"/>
        </w:rPr>
        <w:t>0</w:t>
      </w:r>
      <w:r w:rsidRPr="004B39C5">
        <w:rPr>
          <w:rFonts w:ascii="AvenirNext LT Pro Regular" w:hAnsi="AvenirNext LT Pro Regular" w:cs="Tahoma"/>
          <w:sz w:val="20"/>
          <w:szCs w:val="20"/>
        </w:rPr>
        <w:t xml:space="preserve"> y</w:t>
      </w:r>
      <w:r w:rsidR="00FB33F6">
        <w:rPr>
          <w:rFonts w:ascii="AvenirNext LT Pro Regular" w:hAnsi="AvenirNext LT Pro Regular" w:cs="Tahoma"/>
          <w:sz w:val="20"/>
          <w:szCs w:val="20"/>
        </w:rPr>
        <w:t>ear average</w:t>
      </w:r>
      <w:r w:rsidRPr="004B39C5">
        <w:rPr>
          <w:rFonts w:ascii="AvenirNext LT Pro Regular" w:hAnsi="AvenirNext LT Pro Regular" w:cs="Tahoma"/>
          <w:sz w:val="20"/>
          <w:szCs w:val="20"/>
        </w:rPr>
        <w:t>.</w:t>
      </w:r>
    </w:p>
    <w:p w14:paraId="2BB5D6EB" w14:textId="77777777" w:rsidR="00014EC7" w:rsidRPr="00364E40" w:rsidRDefault="00014EC7" w:rsidP="00364E40">
      <w:pPr>
        <w:jc w:val="both"/>
        <w:rPr>
          <w:rFonts w:ascii="AvenirNext LT Pro Regular" w:hAnsi="AvenirNext LT Pro Regular" w:cs="Tahoma"/>
          <w:sz w:val="20"/>
          <w:szCs w:val="20"/>
        </w:rPr>
      </w:pPr>
    </w:p>
    <w:p w14:paraId="2240570D" w14:textId="09FE7797" w:rsidR="002B3B40" w:rsidRPr="000A3D0C" w:rsidRDefault="002B3B40" w:rsidP="002B3B40">
      <w:pPr>
        <w:jc w:val="both"/>
        <w:rPr>
          <w:rFonts w:ascii="AvenirNext LT Pro Regular" w:hAnsi="AvenirNext LT Pro Regular" w:cs="Tahoma"/>
          <w:b/>
          <w:sz w:val="20"/>
          <w:szCs w:val="20"/>
          <w:u w:val="single"/>
        </w:rPr>
      </w:pPr>
      <w:r w:rsidRPr="000A3D0C">
        <w:rPr>
          <w:rFonts w:ascii="AvenirNext LT Pro Regular" w:hAnsi="AvenirNext LT Pro Regular" w:cs="Tahoma"/>
          <w:b/>
          <w:sz w:val="20"/>
          <w:szCs w:val="20"/>
          <w:u w:val="single"/>
        </w:rPr>
        <w:t>Global REITs</w:t>
      </w:r>
      <w:r w:rsidR="00485DED">
        <w:rPr>
          <w:rFonts w:ascii="AvenirNext LT Pro Regular" w:hAnsi="AvenirNext LT Pro Regular" w:cs="Tahoma"/>
          <w:b/>
          <w:sz w:val="20"/>
          <w:szCs w:val="20"/>
          <w:u w:val="single"/>
        </w:rPr>
        <w:t xml:space="preserve"> (Real Estate Investment Trusts)</w:t>
      </w:r>
    </w:p>
    <w:p w14:paraId="19584C37" w14:textId="51BF698F" w:rsidR="002B3B40" w:rsidRPr="000A3D0C" w:rsidRDefault="002B3B40" w:rsidP="002B3B40">
      <w:pPr>
        <w:jc w:val="both"/>
        <w:rPr>
          <w:rFonts w:ascii="AvenirNext LT Pro Regular" w:hAnsi="AvenirNext LT Pro Regular" w:cs="Tahoma"/>
          <w:sz w:val="20"/>
          <w:szCs w:val="20"/>
        </w:rPr>
      </w:pPr>
    </w:p>
    <w:p w14:paraId="375C598D" w14:textId="4C6FAB7A" w:rsidR="00D95675" w:rsidRPr="000A3D0C" w:rsidRDefault="001569CA" w:rsidP="00726E2C">
      <w:pPr>
        <w:pStyle w:val="ListParagraph"/>
        <w:numPr>
          <w:ilvl w:val="0"/>
          <w:numId w:val="11"/>
        </w:numPr>
        <w:jc w:val="both"/>
        <w:rPr>
          <w:rFonts w:ascii="AvenirNext LT Pro Regular" w:hAnsi="AvenirNext LT Pro Regular" w:cs="Tahoma"/>
          <w:sz w:val="20"/>
          <w:szCs w:val="20"/>
        </w:rPr>
      </w:pPr>
      <w:r w:rsidRPr="000A3D0C">
        <w:rPr>
          <w:rFonts w:ascii="AvenirNext LT Pro Regular" w:hAnsi="AvenirNext LT Pro Regular" w:cs="Tahoma"/>
          <w:sz w:val="20"/>
          <w:szCs w:val="20"/>
        </w:rPr>
        <w:t>G</w:t>
      </w:r>
      <w:r w:rsidR="00C05C38" w:rsidRPr="000A3D0C">
        <w:rPr>
          <w:rFonts w:ascii="AvenirNext LT Pro Regular" w:hAnsi="AvenirNext LT Pro Regular" w:cs="Tahoma"/>
          <w:sz w:val="20"/>
          <w:szCs w:val="20"/>
        </w:rPr>
        <w:t>lobal REITs, as represented by the Dow Jones Global Select REIT,</w:t>
      </w:r>
      <w:r w:rsidR="004B3932" w:rsidRPr="000A3D0C">
        <w:rPr>
          <w:rFonts w:ascii="AvenirNext LT Pro Regular" w:hAnsi="AvenirNext LT Pro Regular" w:cs="Tahoma"/>
          <w:sz w:val="20"/>
          <w:szCs w:val="20"/>
        </w:rPr>
        <w:t xml:space="preserve"> </w:t>
      </w:r>
      <w:r w:rsidR="00B419D9">
        <w:rPr>
          <w:rFonts w:ascii="AvenirNext LT Pro Regular" w:hAnsi="AvenirNext LT Pro Regular" w:cs="Tahoma"/>
          <w:sz w:val="20"/>
          <w:szCs w:val="20"/>
        </w:rPr>
        <w:t xml:space="preserve">jumped 9.8% over the quarter, driving the </w:t>
      </w:r>
      <w:r w:rsidR="00C22871">
        <w:rPr>
          <w:rFonts w:ascii="AvenirNext LT Pro Regular" w:hAnsi="AvenirNext LT Pro Regular" w:cs="Tahoma"/>
          <w:sz w:val="20"/>
          <w:szCs w:val="20"/>
        </w:rPr>
        <w:t>11.7% return for 2023.</w:t>
      </w:r>
    </w:p>
    <w:p w14:paraId="42F205FD" w14:textId="5BD4893F" w:rsidR="0015423E" w:rsidRPr="000A3D0C" w:rsidRDefault="00C22871" w:rsidP="00726E2C">
      <w:pPr>
        <w:pStyle w:val="ListParagraph"/>
        <w:numPr>
          <w:ilvl w:val="0"/>
          <w:numId w:val="11"/>
        </w:numPr>
        <w:jc w:val="both"/>
        <w:rPr>
          <w:rFonts w:ascii="AvenirNext LT Pro Regular" w:hAnsi="AvenirNext LT Pro Regular" w:cs="Tahoma"/>
          <w:sz w:val="20"/>
          <w:szCs w:val="20"/>
        </w:rPr>
      </w:pPr>
      <w:r>
        <w:rPr>
          <w:rFonts w:ascii="AvenirNext LT Pro Regular" w:hAnsi="AvenirNext LT Pro Regular" w:cs="Tahoma"/>
          <w:sz w:val="20"/>
          <w:szCs w:val="20"/>
        </w:rPr>
        <w:t xml:space="preserve">In the US, </w:t>
      </w:r>
      <w:r w:rsidR="00527F93">
        <w:rPr>
          <w:rFonts w:ascii="AvenirNext LT Pro Regular" w:hAnsi="AvenirNext LT Pro Regular" w:cs="Tahoma"/>
          <w:sz w:val="20"/>
          <w:szCs w:val="20"/>
        </w:rPr>
        <w:t>the sectors that performed the best over the year were data centers (</w:t>
      </w:r>
      <w:r w:rsidR="00151332">
        <w:rPr>
          <w:rFonts w:ascii="AvenirNext LT Pro Regular" w:hAnsi="AvenirNext LT Pro Regular" w:cs="Tahoma"/>
          <w:sz w:val="20"/>
          <w:szCs w:val="20"/>
        </w:rPr>
        <w:t>30.1%)</w:t>
      </w:r>
      <w:r w:rsidR="000D56A9">
        <w:rPr>
          <w:rFonts w:ascii="AvenirNext LT Pro Regular" w:hAnsi="AvenirNext LT Pro Regular" w:cs="Tahoma"/>
          <w:sz w:val="20"/>
          <w:szCs w:val="20"/>
        </w:rPr>
        <w:t xml:space="preserve">, </w:t>
      </w:r>
      <w:r w:rsidR="00151332">
        <w:rPr>
          <w:rFonts w:ascii="AvenirNext LT Pro Regular" w:hAnsi="AvenirNext LT Pro Regular" w:cs="Tahoma"/>
          <w:sz w:val="20"/>
          <w:szCs w:val="20"/>
        </w:rPr>
        <w:t>and lodging/resorts (</w:t>
      </w:r>
      <w:r w:rsidR="000D56A9">
        <w:rPr>
          <w:rFonts w:ascii="AvenirNext LT Pro Regular" w:hAnsi="AvenirNext LT Pro Regular" w:cs="Tahoma"/>
          <w:sz w:val="20"/>
          <w:szCs w:val="20"/>
        </w:rPr>
        <w:t xml:space="preserve">23.9%).  </w:t>
      </w:r>
      <w:r w:rsidR="00527F93">
        <w:rPr>
          <w:rFonts w:ascii="AvenirNext LT Pro Regular" w:hAnsi="AvenirNext LT Pro Regular" w:cs="Tahoma"/>
          <w:sz w:val="20"/>
          <w:szCs w:val="20"/>
        </w:rPr>
        <w:t xml:space="preserve"> </w:t>
      </w:r>
      <w:r w:rsidR="000D56A9">
        <w:rPr>
          <w:rFonts w:ascii="AvenirNext LT Pro Regular" w:hAnsi="AvenirNext LT Pro Regular" w:cs="Tahoma"/>
          <w:sz w:val="20"/>
          <w:szCs w:val="20"/>
        </w:rPr>
        <w:t>Source:</w:t>
      </w:r>
      <w:r w:rsidR="00E82A5E">
        <w:rPr>
          <w:rFonts w:ascii="AvenirNext LT Pro Regular" w:hAnsi="AvenirNext LT Pro Regular" w:cs="Tahoma"/>
          <w:sz w:val="20"/>
          <w:szCs w:val="20"/>
        </w:rPr>
        <w:t xml:space="preserve"> </w:t>
      </w:r>
      <w:hyperlink r:id="rId14" w:history="1">
        <w:r w:rsidR="00E82A5E" w:rsidRPr="00E82A5E">
          <w:rPr>
            <w:rStyle w:val="Hyperlink"/>
            <w:rFonts w:ascii="AvenirNext LT Pro Regular" w:hAnsi="AvenirNext LT Pro Regular" w:cs="Tahoma"/>
            <w:sz w:val="20"/>
            <w:szCs w:val="20"/>
          </w:rPr>
          <w:t>NAREIT</w:t>
        </w:r>
      </w:hyperlink>
    </w:p>
    <w:p w14:paraId="59566477" w14:textId="77777777" w:rsidR="00D74150" w:rsidRDefault="00D74150" w:rsidP="00D74150">
      <w:pPr>
        <w:jc w:val="both"/>
        <w:rPr>
          <w:rFonts w:ascii="AvenirNext LT Pro Regular" w:hAnsi="AvenirNext LT Pro Regular" w:cs="Tahoma"/>
          <w:sz w:val="20"/>
          <w:szCs w:val="20"/>
        </w:rPr>
      </w:pPr>
    </w:p>
    <w:p w14:paraId="4DB16767" w14:textId="4652A589" w:rsidR="002B3B40" w:rsidRPr="00787E2D" w:rsidRDefault="002B3B40" w:rsidP="002B3B40">
      <w:pPr>
        <w:jc w:val="both"/>
        <w:rPr>
          <w:rFonts w:ascii="AvenirNext LT Pro Regular" w:hAnsi="AvenirNext LT Pro Regular" w:cs="Tahoma"/>
          <w:b/>
          <w:sz w:val="20"/>
          <w:szCs w:val="20"/>
          <w:u w:val="single"/>
        </w:rPr>
      </w:pPr>
      <w:r w:rsidRPr="00787E2D">
        <w:rPr>
          <w:rFonts w:ascii="AvenirNext LT Pro Regular" w:hAnsi="AvenirNext LT Pro Regular" w:cs="Tahoma"/>
          <w:b/>
          <w:sz w:val="20"/>
          <w:szCs w:val="20"/>
          <w:u w:val="single"/>
        </w:rPr>
        <w:t>Global Fixed Income</w:t>
      </w:r>
    </w:p>
    <w:p w14:paraId="29D8B994" w14:textId="77777777" w:rsidR="002B3B40" w:rsidRPr="00787E2D" w:rsidRDefault="002B3B40" w:rsidP="002B3B40">
      <w:pPr>
        <w:jc w:val="both"/>
        <w:rPr>
          <w:rFonts w:ascii="AvenirNext LT Pro Regular" w:hAnsi="AvenirNext LT Pro Regular" w:cs="Tahoma"/>
          <w:sz w:val="20"/>
          <w:szCs w:val="20"/>
          <w:u w:val="single"/>
        </w:rPr>
      </w:pPr>
    </w:p>
    <w:p w14:paraId="3BFDF970" w14:textId="5B88425E" w:rsidR="003F77FE" w:rsidRPr="003F77FE" w:rsidRDefault="003F77FE" w:rsidP="003F77FE">
      <w:pPr>
        <w:pStyle w:val="ListParagraph"/>
        <w:numPr>
          <w:ilvl w:val="0"/>
          <w:numId w:val="12"/>
        </w:numPr>
        <w:jc w:val="both"/>
        <w:rPr>
          <w:rFonts w:ascii="AvenirNext LT Pro Regular" w:hAnsi="AvenirNext LT Pro Regular" w:cs="Tahoma"/>
          <w:sz w:val="20"/>
          <w:szCs w:val="20"/>
        </w:rPr>
      </w:pPr>
      <w:r w:rsidRPr="003F77FE">
        <w:rPr>
          <w:rFonts w:ascii="AvenirNext LT Pro Regular" w:hAnsi="AvenirNext LT Pro Regular" w:cs="Tahoma"/>
          <w:sz w:val="20"/>
          <w:szCs w:val="20"/>
        </w:rPr>
        <w:t>There was a significant decline in US bond yields during the 4</w:t>
      </w:r>
      <w:r w:rsidRPr="003F77FE">
        <w:rPr>
          <w:rFonts w:ascii="AvenirNext LT Pro Regular" w:hAnsi="AvenirNext LT Pro Regular" w:cs="Tahoma"/>
          <w:sz w:val="20"/>
          <w:szCs w:val="20"/>
          <w:vertAlign w:val="superscript"/>
        </w:rPr>
        <w:t>th</w:t>
      </w:r>
      <w:r w:rsidRPr="003F77FE">
        <w:rPr>
          <w:rFonts w:ascii="AvenirNext LT Pro Regular" w:hAnsi="AvenirNext LT Pro Regular" w:cs="Tahoma"/>
          <w:sz w:val="20"/>
          <w:szCs w:val="20"/>
        </w:rPr>
        <w:t xml:space="preserve"> quarter that drove returns.  In particular, the intermediate and long parts of the curve saw their yields fall more dramatically vs. the shorter end of the curve.  </w:t>
      </w:r>
      <w:r w:rsidR="005F2A7C">
        <w:rPr>
          <w:rFonts w:ascii="AvenirNext LT Pro Regular" w:hAnsi="AvenirNext LT Pro Regular" w:cs="Tahoma"/>
          <w:sz w:val="20"/>
          <w:szCs w:val="20"/>
        </w:rPr>
        <w:t xml:space="preserve">As a reminder, </w:t>
      </w:r>
      <w:r w:rsidR="00EE4AB6">
        <w:rPr>
          <w:rFonts w:ascii="AvenirNext LT Pro Regular" w:hAnsi="AvenirNext LT Pro Regular" w:cs="Tahoma"/>
          <w:sz w:val="20"/>
          <w:szCs w:val="20"/>
        </w:rPr>
        <w:t xml:space="preserve">prices and yields move in opposite directions, so </w:t>
      </w:r>
      <w:r w:rsidR="0074744C">
        <w:rPr>
          <w:rFonts w:ascii="AvenirNext LT Pro Regular" w:hAnsi="AvenirNext LT Pro Regular" w:cs="Tahoma"/>
          <w:sz w:val="20"/>
          <w:szCs w:val="20"/>
        </w:rPr>
        <w:t xml:space="preserve">a drop in yields </w:t>
      </w:r>
      <w:proofErr w:type="gramStart"/>
      <w:r w:rsidR="0074744C">
        <w:rPr>
          <w:rFonts w:ascii="AvenirNext LT Pro Regular" w:hAnsi="AvenirNext LT Pro Regular" w:cs="Tahoma"/>
          <w:sz w:val="20"/>
          <w:szCs w:val="20"/>
        </w:rPr>
        <w:t>actually means</w:t>
      </w:r>
      <w:proofErr w:type="gramEnd"/>
      <w:r w:rsidR="0074744C">
        <w:rPr>
          <w:rFonts w:ascii="AvenirNext LT Pro Regular" w:hAnsi="AvenirNext LT Pro Regular" w:cs="Tahoma"/>
          <w:sz w:val="20"/>
          <w:szCs w:val="20"/>
        </w:rPr>
        <w:t xml:space="preserve"> positive returns.</w:t>
      </w:r>
    </w:p>
    <w:p w14:paraId="01BCC899" w14:textId="27AC3418" w:rsidR="002B7CC6" w:rsidRPr="002B7CC6" w:rsidRDefault="002B7CC6" w:rsidP="002B7CC6">
      <w:pPr>
        <w:pStyle w:val="ListParagraph"/>
        <w:numPr>
          <w:ilvl w:val="0"/>
          <w:numId w:val="12"/>
        </w:numPr>
        <w:jc w:val="both"/>
        <w:rPr>
          <w:rFonts w:ascii="AvenirNext LT Pro Regular" w:hAnsi="AvenirNext LT Pro Regular" w:cs="Tahoma"/>
          <w:sz w:val="20"/>
          <w:szCs w:val="20"/>
        </w:rPr>
      </w:pPr>
      <w:r w:rsidRPr="002B7CC6">
        <w:rPr>
          <w:rFonts w:ascii="AvenirNext LT Pro Regular" w:hAnsi="AvenirNext LT Pro Regular" w:cs="Tahoma"/>
          <w:sz w:val="20"/>
          <w:szCs w:val="20"/>
        </w:rPr>
        <w:t>Global bonds ex-US (hedged USD) had a strong 2023 with gains of 8.3%.</w:t>
      </w:r>
    </w:p>
    <w:p w14:paraId="4166B013" w14:textId="77777777" w:rsidR="006E471A" w:rsidRDefault="006E471A" w:rsidP="00E15837">
      <w:pPr>
        <w:jc w:val="both"/>
        <w:rPr>
          <w:rFonts w:ascii="AvenirNext LT Pro Regular" w:hAnsi="AvenirNext LT Pro Regular" w:cs="Tahoma"/>
          <w:sz w:val="20"/>
          <w:szCs w:val="20"/>
          <w:highlight w:val="yellow"/>
        </w:rPr>
      </w:pPr>
    </w:p>
    <w:p w14:paraId="663472C6" w14:textId="72F14EA2" w:rsidR="00475F0B" w:rsidRDefault="00475F0B" w:rsidP="00E15837">
      <w:pPr>
        <w:jc w:val="both"/>
        <w:rPr>
          <w:rFonts w:ascii="AvenirNext LT Pro Regular" w:hAnsi="AvenirNext LT Pro Regular" w:cs="Tahoma"/>
          <w:sz w:val="20"/>
          <w:szCs w:val="20"/>
        </w:rPr>
      </w:pPr>
      <w:r w:rsidRPr="00475F0B">
        <w:rPr>
          <w:rFonts w:ascii="AvenirNext LT Pro Regular" w:hAnsi="AvenirNext LT Pro Regular" w:cs="Tahoma"/>
          <w:sz w:val="20"/>
          <w:szCs w:val="20"/>
        </w:rPr>
        <w:t xml:space="preserve">Bond yields </w:t>
      </w:r>
      <w:r>
        <w:rPr>
          <w:rFonts w:ascii="AvenirNext LT Pro Regular" w:hAnsi="AvenirNext LT Pro Regular" w:cs="Tahoma"/>
          <w:sz w:val="20"/>
          <w:szCs w:val="20"/>
        </w:rPr>
        <w:t xml:space="preserve">experienced quite </w:t>
      </w:r>
      <w:r w:rsidR="0099078E">
        <w:rPr>
          <w:rFonts w:ascii="AvenirNext LT Pro Regular" w:hAnsi="AvenirNext LT Pro Regular" w:cs="Tahoma"/>
          <w:sz w:val="20"/>
          <w:szCs w:val="20"/>
        </w:rPr>
        <w:t>a</w:t>
      </w:r>
      <w:r>
        <w:rPr>
          <w:rFonts w:ascii="AvenirNext LT Pro Regular" w:hAnsi="AvenirNext LT Pro Regular" w:cs="Tahoma"/>
          <w:sz w:val="20"/>
          <w:szCs w:val="20"/>
        </w:rPr>
        <w:t xml:space="preserve"> ride in the 4</w:t>
      </w:r>
      <w:r w:rsidRPr="00475F0B">
        <w:rPr>
          <w:rFonts w:ascii="AvenirNext LT Pro Regular" w:hAnsi="AvenirNext LT Pro Regular" w:cs="Tahoma"/>
          <w:sz w:val="20"/>
          <w:szCs w:val="20"/>
          <w:vertAlign w:val="superscript"/>
        </w:rPr>
        <w:t>th</w:t>
      </w:r>
      <w:r>
        <w:rPr>
          <w:rFonts w:ascii="AvenirNext LT Pro Regular" w:hAnsi="AvenirNext LT Pro Regular" w:cs="Tahoma"/>
          <w:sz w:val="20"/>
          <w:szCs w:val="20"/>
        </w:rPr>
        <w:t xml:space="preserve"> quarter.  </w:t>
      </w:r>
      <w:r w:rsidR="0099078E">
        <w:rPr>
          <w:rFonts w:ascii="AvenirNext LT Pro Regular" w:hAnsi="AvenirNext LT Pro Regular" w:cs="Tahoma"/>
          <w:sz w:val="20"/>
          <w:szCs w:val="20"/>
        </w:rPr>
        <w:t xml:space="preserve">For example, the 10-Year US Treasury started the quarter at </w:t>
      </w:r>
      <w:r w:rsidR="005676EB">
        <w:rPr>
          <w:rFonts w:ascii="AvenirNext LT Pro Regular" w:hAnsi="AvenirNext LT Pro Regular" w:cs="Tahoma"/>
          <w:sz w:val="20"/>
          <w:szCs w:val="20"/>
        </w:rPr>
        <w:lastRenderedPageBreak/>
        <w:t xml:space="preserve">4.59%, closed as high as </w:t>
      </w:r>
      <w:r w:rsidR="0010097C">
        <w:rPr>
          <w:rFonts w:ascii="AvenirNext LT Pro Regular" w:hAnsi="AvenirNext LT Pro Regular" w:cs="Tahoma"/>
          <w:sz w:val="20"/>
          <w:szCs w:val="20"/>
        </w:rPr>
        <w:t>4.98% in mid-October, and then steadily fell to end the year at 3.88%</w:t>
      </w:r>
      <w:r w:rsidR="00DA09FD">
        <w:rPr>
          <w:rFonts w:ascii="AvenirNext LT Pro Regular" w:hAnsi="AvenirNext LT Pro Regular" w:cs="Tahoma"/>
          <w:sz w:val="20"/>
          <w:szCs w:val="20"/>
        </w:rPr>
        <w:t>.</w:t>
      </w:r>
      <w:r w:rsidR="0010097C">
        <w:rPr>
          <w:rFonts w:ascii="AvenirNext LT Pro Regular" w:hAnsi="AvenirNext LT Pro Regular" w:cs="Tahoma"/>
          <w:sz w:val="20"/>
          <w:szCs w:val="20"/>
        </w:rPr>
        <w:t xml:space="preserve"> </w:t>
      </w:r>
    </w:p>
    <w:p w14:paraId="3F4CE511" w14:textId="77777777" w:rsidR="00DD6AD2" w:rsidRDefault="00DD6AD2" w:rsidP="00E15837">
      <w:pPr>
        <w:jc w:val="both"/>
        <w:rPr>
          <w:rFonts w:ascii="AvenirNext LT Pro Regular" w:hAnsi="AvenirNext LT Pro Regular" w:cs="Tahoma"/>
          <w:sz w:val="20"/>
          <w:szCs w:val="20"/>
        </w:rPr>
      </w:pPr>
    </w:p>
    <w:p w14:paraId="0C70E3AC" w14:textId="37E548AB" w:rsidR="00DD6AD2" w:rsidRDefault="00DD6AD2" w:rsidP="00E15837">
      <w:pPr>
        <w:jc w:val="both"/>
        <w:rPr>
          <w:rFonts w:ascii="AvenirNext LT Pro Regular" w:hAnsi="AvenirNext LT Pro Regular" w:cs="Tahoma"/>
          <w:sz w:val="20"/>
          <w:szCs w:val="20"/>
        </w:rPr>
      </w:pPr>
      <w:r>
        <w:rPr>
          <w:rFonts w:ascii="AvenirNext LT Pro Regular" w:hAnsi="AvenirNext LT Pro Regular" w:cs="Tahoma"/>
          <w:sz w:val="20"/>
          <w:szCs w:val="20"/>
        </w:rPr>
        <w:t xml:space="preserve">There are several possible reasons that rates </w:t>
      </w:r>
      <w:r w:rsidR="00707963">
        <w:rPr>
          <w:rFonts w:ascii="AvenirNext LT Pro Regular" w:hAnsi="AvenirNext LT Pro Regular" w:cs="Tahoma"/>
          <w:sz w:val="20"/>
          <w:szCs w:val="20"/>
        </w:rPr>
        <w:t xml:space="preserve">began </w:t>
      </w:r>
      <w:r w:rsidR="005722E9">
        <w:rPr>
          <w:rFonts w:ascii="AvenirNext LT Pro Regular" w:hAnsi="AvenirNext LT Pro Regular" w:cs="Tahoma"/>
          <w:sz w:val="20"/>
          <w:szCs w:val="20"/>
        </w:rPr>
        <w:t xml:space="preserve">falling including </w:t>
      </w:r>
      <w:r w:rsidR="00203282">
        <w:rPr>
          <w:rFonts w:ascii="AvenirNext LT Pro Regular" w:hAnsi="AvenirNext LT Pro Regular" w:cs="Tahoma"/>
          <w:sz w:val="20"/>
          <w:szCs w:val="20"/>
        </w:rPr>
        <w:t xml:space="preserve">the Fed keeping rates steady as inflation steadily fell, along with </w:t>
      </w:r>
      <w:r w:rsidR="005722E9">
        <w:rPr>
          <w:rFonts w:ascii="AvenirNext LT Pro Regular" w:hAnsi="AvenirNext LT Pro Regular" w:cs="Tahoma"/>
          <w:sz w:val="20"/>
          <w:szCs w:val="20"/>
        </w:rPr>
        <w:t>a belief the Fed would start cutting rates in 2024</w:t>
      </w:r>
      <w:r w:rsidR="00203282">
        <w:rPr>
          <w:rFonts w:ascii="AvenirNext LT Pro Regular" w:hAnsi="AvenirNext LT Pro Regular" w:cs="Tahoma"/>
          <w:sz w:val="20"/>
          <w:szCs w:val="20"/>
        </w:rPr>
        <w:t>.</w:t>
      </w:r>
    </w:p>
    <w:p w14:paraId="5819951A" w14:textId="23620E64" w:rsidR="00355771" w:rsidRDefault="00355771" w:rsidP="00E15837">
      <w:pPr>
        <w:jc w:val="both"/>
        <w:rPr>
          <w:rFonts w:ascii="AvenirNext LT Pro Regular" w:hAnsi="AvenirNext LT Pro Regular" w:cs="Tahoma"/>
          <w:sz w:val="20"/>
          <w:szCs w:val="20"/>
        </w:rPr>
      </w:pPr>
    </w:p>
    <w:p w14:paraId="4265BA0D" w14:textId="52DD9F29" w:rsidR="001B43C7" w:rsidRDefault="00355771" w:rsidP="009E0763">
      <w:pPr>
        <w:jc w:val="both"/>
        <w:rPr>
          <w:rFonts w:ascii="AvenirNext LT Pro Regular" w:hAnsi="AvenirNext LT Pro Regular" w:cs="Tahoma"/>
          <w:sz w:val="20"/>
          <w:szCs w:val="20"/>
        </w:rPr>
      </w:pPr>
      <w:r>
        <w:rPr>
          <w:rFonts w:ascii="AvenirNext LT Pro Regular" w:hAnsi="AvenirNext LT Pro Regular" w:cs="Tahoma"/>
          <w:sz w:val="20"/>
          <w:szCs w:val="20"/>
        </w:rPr>
        <w:t>Exhibit 5</w:t>
      </w:r>
    </w:p>
    <w:p w14:paraId="02B93B65" w14:textId="735EA2E6" w:rsidR="00CE6DFB" w:rsidRDefault="00355771" w:rsidP="009E0763">
      <w:pPr>
        <w:jc w:val="both"/>
        <w:rPr>
          <w:rFonts w:ascii="AvenirNext LT Pro Regular" w:hAnsi="AvenirNext LT Pro Regular" w:cs="Tahoma"/>
          <w:sz w:val="20"/>
          <w:szCs w:val="20"/>
        </w:rPr>
      </w:pPr>
      <w:r w:rsidRPr="00355771">
        <w:rPr>
          <w:rFonts w:ascii="AvenirNext LT Pro Regular" w:hAnsi="AvenirNext LT Pro Regular" w:cs="Tahoma"/>
          <w:noProof/>
          <w:sz w:val="20"/>
          <w:szCs w:val="20"/>
        </w:rPr>
        <w:drawing>
          <wp:inline distT="0" distB="0" distL="0" distR="0" wp14:anchorId="2394B698" wp14:editId="05D26C5A">
            <wp:extent cx="2971800" cy="2088515"/>
            <wp:effectExtent l="0" t="0" r="0" b="6985"/>
            <wp:docPr id="1431239518" name="Picture 1431239518" descr="A graph of blue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39518" name="Picture 1" descr="A graph of blue and green lines&#10;&#10;Description automatically generated"/>
                    <pic:cNvPicPr/>
                  </pic:nvPicPr>
                  <pic:blipFill>
                    <a:blip r:embed="rId15"/>
                    <a:stretch>
                      <a:fillRect/>
                    </a:stretch>
                  </pic:blipFill>
                  <pic:spPr>
                    <a:xfrm>
                      <a:off x="0" y="0"/>
                      <a:ext cx="2971800" cy="2088515"/>
                    </a:xfrm>
                    <a:prstGeom prst="rect">
                      <a:avLst/>
                    </a:prstGeom>
                  </pic:spPr>
                </pic:pic>
              </a:graphicData>
            </a:graphic>
          </wp:inline>
        </w:drawing>
      </w:r>
    </w:p>
    <w:p w14:paraId="13CEA7F6" w14:textId="283FD612" w:rsidR="00C75B64" w:rsidRPr="00C75B64" w:rsidRDefault="00C75B64" w:rsidP="009E0763">
      <w:pPr>
        <w:jc w:val="both"/>
        <w:rPr>
          <w:rFonts w:ascii="AvenirNext LT Pro Regular" w:hAnsi="AvenirNext LT Pro Regular" w:cs="Tahoma"/>
          <w:sz w:val="16"/>
          <w:szCs w:val="16"/>
        </w:rPr>
      </w:pPr>
      <w:r w:rsidRPr="00C75B64">
        <w:rPr>
          <w:rFonts w:ascii="AvenirNext LT Pro Regular" w:hAnsi="AvenirNext LT Pro Regular" w:cs="Tahoma"/>
          <w:sz w:val="16"/>
          <w:szCs w:val="16"/>
        </w:rPr>
        <w:t>Source: Bloomberg, data as of 12/31/2023</w:t>
      </w:r>
    </w:p>
    <w:p w14:paraId="4A12DAAC" w14:textId="77777777" w:rsidR="00355771" w:rsidRDefault="00355771" w:rsidP="009E0763">
      <w:pPr>
        <w:jc w:val="both"/>
        <w:rPr>
          <w:rFonts w:ascii="AvenirNext LT Pro Regular" w:hAnsi="AvenirNext LT Pro Regular" w:cs="Tahoma"/>
          <w:sz w:val="20"/>
          <w:szCs w:val="20"/>
        </w:rPr>
      </w:pPr>
    </w:p>
    <w:p w14:paraId="3CE482A9" w14:textId="2A79B1EE" w:rsidR="002451E1" w:rsidRPr="002451E1" w:rsidRDefault="002451E1" w:rsidP="002451E1">
      <w:pPr>
        <w:jc w:val="both"/>
        <w:rPr>
          <w:rFonts w:ascii="AvenirNext LT Pro Regular" w:hAnsi="AvenirNext LT Pro Regular" w:cs="Tahoma"/>
          <w:sz w:val="20"/>
          <w:szCs w:val="20"/>
        </w:rPr>
      </w:pPr>
      <w:r>
        <w:rPr>
          <w:rFonts w:ascii="AvenirNext LT Pro Regular" w:hAnsi="AvenirNext LT Pro Regular" w:cs="Tahoma"/>
          <w:sz w:val="20"/>
          <w:szCs w:val="20"/>
        </w:rPr>
        <w:t>T</w:t>
      </w:r>
      <w:r w:rsidR="00CE6DFB">
        <w:rPr>
          <w:rFonts w:ascii="AvenirNext LT Pro Regular" w:hAnsi="AvenirNext LT Pro Regular" w:cs="Tahoma"/>
          <w:sz w:val="20"/>
          <w:szCs w:val="20"/>
        </w:rPr>
        <w:t xml:space="preserve">here are several </w:t>
      </w:r>
      <w:r>
        <w:rPr>
          <w:rFonts w:ascii="AvenirNext LT Pro Regular" w:hAnsi="AvenirNext LT Pro Regular" w:cs="Tahoma"/>
          <w:sz w:val="20"/>
          <w:szCs w:val="20"/>
        </w:rPr>
        <w:t xml:space="preserve">good </w:t>
      </w:r>
      <w:r w:rsidR="00CE6DFB">
        <w:rPr>
          <w:rFonts w:ascii="AvenirNext LT Pro Regular" w:hAnsi="AvenirNext LT Pro Regular" w:cs="Tahoma"/>
          <w:sz w:val="20"/>
          <w:szCs w:val="20"/>
        </w:rPr>
        <w:t xml:space="preserve">stories </w:t>
      </w:r>
      <w:r>
        <w:rPr>
          <w:rFonts w:ascii="AvenirNext LT Pro Regular" w:hAnsi="AvenirNext LT Pro Regular" w:cs="Tahoma"/>
          <w:sz w:val="20"/>
          <w:szCs w:val="20"/>
        </w:rPr>
        <w:t xml:space="preserve">that can be told from looking at Exhibit 5.  </w:t>
      </w:r>
      <w:r w:rsidRPr="002451E1">
        <w:rPr>
          <w:rFonts w:ascii="AvenirNext LT Pro Regular" w:hAnsi="AvenirNext LT Pro Regular" w:cs="Tahoma"/>
          <w:sz w:val="20"/>
          <w:szCs w:val="20"/>
        </w:rPr>
        <w:t xml:space="preserve">For one, you can see the rate levels </w:t>
      </w:r>
      <w:r w:rsidRPr="002451E1">
        <w:rPr>
          <w:rFonts w:ascii="AvenirNext LT Pro Regular" w:hAnsi="AvenirNext LT Pro Regular" w:cs="Tahoma"/>
          <w:sz w:val="20"/>
          <w:szCs w:val="20"/>
        </w:rPr>
        <w:t xml:space="preserve">we are at today vs. the </w:t>
      </w:r>
      <w:r w:rsidR="000C6F65">
        <w:rPr>
          <w:rFonts w:ascii="AvenirNext LT Pro Regular" w:hAnsi="AvenirNext LT Pro Regular" w:cs="Tahoma"/>
          <w:sz w:val="20"/>
          <w:szCs w:val="20"/>
        </w:rPr>
        <w:t>very low</w:t>
      </w:r>
      <w:r w:rsidRPr="002451E1">
        <w:rPr>
          <w:rFonts w:ascii="AvenirNext LT Pro Regular" w:hAnsi="AvenirNext LT Pro Regular" w:cs="Tahoma"/>
          <w:sz w:val="20"/>
          <w:szCs w:val="20"/>
        </w:rPr>
        <w:t xml:space="preserve"> levels of just a few short years ago</w:t>
      </w:r>
      <w:r w:rsidR="00961391">
        <w:rPr>
          <w:rFonts w:ascii="AvenirNext LT Pro Regular" w:hAnsi="AvenirNext LT Pro Regular" w:cs="Tahoma"/>
          <w:sz w:val="20"/>
          <w:szCs w:val="20"/>
        </w:rPr>
        <w:t xml:space="preserve"> (not shown, but trust us, they were much lower)</w:t>
      </w:r>
      <w:r w:rsidRPr="002451E1">
        <w:rPr>
          <w:rFonts w:ascii="AvenirNext LT Pro Regular" w:hAnsi="AvenirNext LT Pro Regular" w:cs="Tahoma"/>
          <w:sz w:val="20"/>
          <w:szCs w:val="20"/>
        </w:rPr>
        <w:t>.  This is important for investors as they can now receive actual income on their fixed income (bonds).  Also, you can see how the curve for 12/31/2023 is below that of the one for 9/30/2023, highlighting how strong the bond rally was over the last quarter, generating strong returns across Treasuries</w:t>
      </w:r>
      <w:r w:rsidR="002C6739">
        <w:rPr>
          <w:rFonts w:ascii="AvenirNext LT Pro Regular" w:hAnsi="AvenirNext LT Pro Regular" w:cs="Tahoma"/>
          <w:sz w:val="20"/>
          <w:szCs w:val="20"/>
        </w:rPr>
        <w:t xml:space="preserve"> and other US bond categories</w:t>
      </w:r>
      <w:r w:rsidRPr="002451E1">
        <w:rPr>
          <w:rFonts w:ascii="AvenirNext LT Pro Regular" w:hAnsi="AvenirNext LT Pro Regular" w:cs="Tahoma"/>
          <w:sz w:val="20"/>
          <w:szCs w:val="20"/>
        </w:rPr>
        <w:t xml:space="preserve">.  Plus, while the curve from 12/31/2023 is very similar to the curve from the previous year, it doesn’t show how much change </w:t>
      </w:r>
      <w:proofErr w:type="gramStart"/>
      <w:r w:rsidRPr="002451E1">
        <w:rPr>
          <w:rFonts w:ascii="AvenirNext LT Pro Regular" w:hAnsi="AvenirNext LT Pro Regular" w:cs="Tahoma"/>
          <w:sz w:val="20"/>
          <w:szCs w:val="20"/>
        </w:rPr>
        <w:t>actually occurred</w:t>
      </w:r>
      <w:proofErr w:type="gramEnd"/>
      <w:r w:rsidRPr="002451E1">
        <w:rPr>
          <w:rFonts w:ascii="AvenirNext LT Pro Regular" w:hAnsi="AvenirNext LT Pro Regular" w:cs="Tahoma"/>
          <w:sz w:val="20"/>
          <w:szCs w:val="20"/>
        </w:rPr>
        <w:t xml:space="preserve"> throughout the year.  And finally, the curve is still inverted, meaning shorter term yields are higher vs. longer term yields.</w:t>
      </w:r>
      <w:r w:rsidR="004C417A">
        <w:rPr>
          <w:rFonts w:ascii="AvenirNext LT Pro Regular" w:hAnsi="AvenirNext LT Pro Regular" w:cs="Tahoma"/>
          <w:sz w:val="20"/>
          <w:szCs w:val="20"/>
        </w:rPr>
        <w:t xml:space="preserve">  </w:t>
      </w:r>
      <w:r w:rsidR="00FB0325">
        <w:rPr>
          <w:rFonts w:ascii="AvenirNext LT Pro Regular" w:hAnsi="AvenirNext LT Pro Regular" w:cs="Tahoma"/>
          <w:sz w:val="20"/>
          <w:szCs w:val="20"/>
        </w:rPr>
        <w:t>Nonetheless</w:t>
      </w:r>
      <w:r w:rsidR="004C417A">
        <w:rPr>
          <w:rFonts w:ascii="AvenirNext LT Pro Regular" w:hAnsi="AvenirNext LT Pro Regular" w:cs="Tahoma"/>
          <w:sz w:val="20"/>
          <w:szCs w:val="20"/>
        </w:rPr>
        <w:t>, we would caution about having too much in cash</w:t>
      </w:r>
      <w:r w:rsidR="00D334D2">
        <w:rPr>
          <w:rFonts w:ascii="AvenirNext LT Pro Regular" w:hAnsi="AvenirNext LT Pro Regular" w:cs="Tahoma"/>
          <w:sz w:val="20"/>
          <w:szCs w:val="20"/>
        </w:rPr>
        <w:t xml:space="preserve"> and </w:t>
      </w:r>
      <w:r w:rsidR="00EE62F6">
        <w:rPr>
          <w:rFonts w:ascii="AvenirNext LT Pro Regular" w:hAnsi="AvenirNext LT Pro Regular" w:cs="Tahoma"/>
          <w:sz w:val="20"/>
          <w:szCs w:val="20"/>
        </w:rPr>
        <w:t>short-term</w:t>
      </w:r>
      <w:r w:rsidR="00D334D2">
        <w:rPr>
          <w:rFonts w:ascii="AvenirNext LT Pro Regular" w:hAnsi="AvenirNext LT Pro Regular" w:cs="Tahoma"/>
          <w:sz w:val="20"/>
          <w:szCs w:val="20"/>
        </w:rPr>
        <w:t xml:space="preserve"> bonds</w:t>
      </w:r>
      <w:r w:rsidR="004C417A">
        <w:rPr>
          <w:rFonts w:ascii="AvenirNext LT Pro Regular" w:hAnsi="AvenirNext LT Pro Regular" w:cs="Tahoma"/>
          <w:sz w:val="20"/>
          <w:szCs w:val="20"/>
        </w:rPr>
        <w:t>, as reinvestment risk could be an issue.</w:t>
      </w:r>
    </w:p>
    <w:p w14:paraId="75D5F706" w14:textId="257572C6" w:rsidR="00CE6DFB" w:rsidRDefault="00CE6DFB" w:rsidP="009E0763">
      <w:pPr>
        <w:jc w:val="both"/>
        <w:rPr>
          <w:rFonts w:ascii="AvenirNext LT Pro Regular" w:hAnsi="AvenirNext LT Pro Regular" w:cs="Tahoma"/>
          <w:sz w:val="20"/>
          <w:szCs w:val="20"/>
        </w:rPr>
      </w:pPr>
    </w:p>
    <w:p w14:paraId="35FEBEE2" w14:textId="0675DE9A" w:rsidR="00166520" w:rsidRDefault="008E6C9A" w:rsidP="009E0763">
      <w:pPr>
        <w:jc w:val="both"/>
        <w:rPr>
          <w:rFonts w:ascii="AvenirNext LT Pro Regular" w:hAnsi="AvenirNext LT Pro Regular" w:cs="Tahoma"/>
          <w:sz w:val="20"/>
          <w:szCs w:val="20"/>
        </w:rPr>
      </w:pPr>
      <w:r>
        <w:rPr>
          <w:rFonts w:ascii="AvenirNext LT Pro Regular" w:hAnsi="AvenirNext LT Pro Regular" w:cs="Tahoma"/>
          <w:sz w:val="20"/>
          <w:szCs w:val="20"/>
        </w:rPr>
        <w:t>Overall</w:t>
      </w:r>
      <w:r w:rsidR="00AD3F7E">
        <w:rPr>
          <w:rFonts w:ascii="AvenirNext LT Pro Regular" w:hAnsi="AvenirNext LT Pro Regular" w:cs="Tahoma"/>
          <w:sz w:val="20"/>
          <w:szCs w:val="20"/>
        </w:rPr>
        <w:t>, w</w:t>
      </w:r>
      <w:r w:rsidR="002B3B40" w:rsidRPr="00061BDC">
        <w:rPr>
          <w:rFonts w:ascii="AvenirNext LT Pro Regular" w:hAnsi="AvenirNext LT Pro Regular" w:cs="Tahoma"/>
          <w:sz w:val="20"/>
          <w:szCs w:val="20"/>
        </w:rPr>
        <w:t xml:space="preserve">e continue to view </w:t>
      </w:r>
      <w:r>
        <w:rPr>
          <w:rFonts w:ascii="AvenirNext LT Pro Regular" w:hAnsi="AvenirNext LT Pro Regular" w:cs="Tahoma"/>
          <w:sz w:val="20"/>
          <w:szCs w:val="20"/>
        </w:rPr>
        <w:t xml:space="preserve">our bond allocations </w:t>
      </w:r>
      <w:r w:rsidR="002B3B40" w:rsidRPr="00061BDC">
        <w:rPr>
          <w:rFonts w:ascii="AvenirNext LT Pro Regular" w:hAnsi="AvenirNext LT Pro Regular" w:cs="Tahoma"/>
          <w:sz w:val="20"/>
          <w:szCs w:val="20"/>
        </w:rPr>
        <w:t xml:space="preserve">as a method of reducing overall portfolio risk (as measured by standard deviation), given that </w:t>
      </w:r>
      <w:r>
        <w:rPr>
          <w:rFonts w:ascii="AvenirNext LT Pro Regular" w:hAnsi="AvenirNext LT Pro Regular" w:cs="Tahoma"/>
          <w:sz w:val="20"/>
          <w:szCs w:val="20"/>
        </w:rPr>
        <w:t xml:space="preserve">stocks </w:t>
      </w:r>
      <w:r w:rsidR="002B3B40" w:rsidRPr="00061BDC">
        <w:rPr>
          <w:rFonts w:ascii="AvenirNext LT Pro Regular" w:hAnsi="AvenirNext LT Pro Regular" w:cs="Tahoma"/>
          <w:sz w:val="20"/>
          <w:szCs w:val="20"/>
        </w:rPr>
        <w:t>are expected to have much higher volatility.  Our portfolio’s focus will continue to be on high quality bonds with an emphasis on short to intermediate duration government and corporate bonds, where default risk has historically been relatively low</w:t>
      </w:r>
      <w:r w:rsidR="00945D3B" w:rsidRPr="00061BDC">
        <w:rPr>
          <w:rFonts w:ascii="AvenirNext LT Pro Regular" w:hAnsi="AvenirNext LT Pro Regular" w:cs="Tahoma"/>
          <w:sz w:val="20"/>
          <w:szCs w:val="20"/>
        </w:rPr>
        <w:t>.</w:t>
      </w:r>
      <w:r w:rsidR="00504C1E">
        <w:rPr>
          <w:rFonts w:ascii="AvenirNext LT Pro Regular" w:hAnsi="AvenirNext LT Pro Regular" w:cs="Tahoma"/>
          <w:sz w:val="20"/>
          <w:szCs w:val="20"/>
        </w:rPr>
        <w:t xml:space="preserve">  </w:t>
      </w:r>
    </w:p>
    <w:p w14:paraId="41DBE48F" w14:textId="77777777" w:rsidR="008B366A" w:rsidRDefault="008B366A" w:rsidP="009E0763">
      <w:pPr>
        <w:jc w:val="both"/>
        <w:rPr>
          <w:rFonts w:ascii="AvenirNext LT Pro Regular" w:hAnsi="AvenirNext LT Pro Regular" w:cs="Tahoma"/>
          <w:sz w:val="20"/>
          <w:szCs w:val="20"/>
        </w:rPr>
      </w:pPr>
    </w:p>
    <w:p w14:paraId="37173B10" w14:textId="77777777" w:rsidR="008B366A" w:rsidRDefault="008B366A" w:rsidP="009E0763">
      <w:pPr>
        <w:jc w:val="both"/>
        <w:rPr>
          <w:rFonts w:ascii="AvenirNext LT Pro Regular" w:hAnsi="AvenirNext LT Pro Regular" w:cs="Tahoma"/>
          <w:sz w:val="20"/>
          <w:szCs w:val="20"/>
        </w:rPr>
      </w:pPr>
    </w:p>
    <w:p w14:paraId="1F687F35" w14:textId="3B90D0CB" w:rsidR="008B366A" w:rsidRPr="00AA6AA6" w:rsidRDefault="008B366A" w:rsidP="009E0763">
      <w:pPr>
        <w:jc w:val="both"/>
        <w:rPr>
          <w:rFonts w:ascii="AvenirNext LT Pro Regular" w:hAnsi="AvenirNext LT Pro Regular" w:cs="Tahoma"/>
          <w:sz w:val="20"/>
          <w:szCs w:val="20"/>
        </w:rPr>
        <w:sectPr w:rsidR="008B366A" w:rsidRPr="00AA6AA6" w:rsidSect="004A76CA">
          <w:headerReference w:type="default" r:id="rId16"/>
          <w:footerReference w:type="default" r:id="rId17"/>
          <w:headerReference w:type="first" r:id="rId18"/>
          <w:footerReference w:type="first" r:id="rId19"/>
          <w:type w:val="continuous"/>
          <w:pgSz w:w="12240" w:h="15840" w:code="1"/>
          <w:pgMar w:top="1584" w:right="1080" w:bottom="720" w:left="1080" w:header="360" w:footer="720" w:gutter="0"/>
          <w:cols w:num="2" w:space="720"/>
          <w:titlePg/>
          <w:docGrid w:linePitch="360"/>
        </w:sectPr>
      </w:pPr>
    </w:p>
    <w:p w14:paraId="3E70B2DB" w14:textId="5528CF63" w:rsidR="00FE20B7" w:rsidRPr="00AA6AA6" w:rsidRDefault="00FE20B7" w:rsidP="00C17D2C">
      <w:pPr>
        <w:rPr>
          <w:rFonts w:ascii="AvenirNext LT Pro Regular" w:hAnsi="AvenirNext LT Pro Regular" w:cs="Tahoma"/>
          <w:sz w:val="20"/>
          <w:szCs w:val="20"/>
        </w:rPr>
        <w:sectPr w:rsidR="00FE20B7" w:rsidRPr="00AA6AA6" w:rsidSect="004A76CA">
          <w:headerReference w:type="first" r:id="rId20"/>
          <w:type w:val="continuous"/>
          <w:pgSz w:w="12240" w:h="15840"/>
          <w:pgMar w:top="1668" w:right="1080" w:bottom="864" w:left="1080" w:header="360" w:footer="720" w:gutter="0"/>
          <w:cols w:space="720"/>
          <w:titlePg/>
          <w:docGrid w:linePitch="360"/>
        </w:sectPr>
      </w:pPr>
      <w:bookmarkStart w:id="1" w:name="_Hlk40439400"/>
    </w:p>
    <w:bookmarkEnd w:id="1"/>
    <w:p w14:paraId="64F3E974" w14:textId="77777777" w:rsidR="00EA46CC" w:rsidRDefault="00EA46CC" w:rsidP="00790C1B">
      <w:pPr>
        <w:rPr>
          <w:rFonts w:ascii="AvenirNext LT Pro Regular" w:hAnsi="AvenirNext LT Pro Regular" w:cs="Gautami"/>
          <w:b/>
          <w:bCs/>
          <w:i/>
          <w:iCs/>
          <w:sz w:val="18"/>
          <w:szCs w:val="18"/>
        </w:rPr>
      </w:pPr>
    </w:p>
    <w:p w14:paraId="7C4CF1E4" w14:textId="19666D5B" w:rsidR="00850BE1" w:rsidRDefault="00850BE1" w:rsidP="00850BE1">
      <w:pPr>
        <w:rPr>
          <w:rFonts w:ascii="AvenirNext LT Pro Regular" w:hAnsi="AvenirNext LT Pro Regular" w:cs="Gautami"/>
          <w:b/>
          <w:bCs/>
          <w:i/>
          <w:iCs/>
          <w:sz w:val="18"/>
          <w:szCs w:val="18"/>
        </w:rPr>
      </w:pPr>
      <w:r w:rsidRPr="00196176">
        <w:rPr>
          <w:rFonts w:ascii="AvenirNext LT Pro Regular" w:hAnsi="AvenirNext LT Pro Regular" w:cs="Gautami"/>
          <w:b/>
          <w:bCs/>
          <w:i/>
          <w:iCs/>
          <w:sz w:val="18"/>
          <w:szCs w:val="18"/>
        </w:rPr>
        <w:t xml:space="preserve">Investment advisory services offered through </w:t>
      </w:r>
      <w:proofErr w:type="spellStart"/>
      <w:r w:rsidRPr="00196176">
        <w:rPr>
          <w:rFonts w:ascii="AvenirNext LT Pro Regular" w:hAnsi="AvenirNext LT Pro Regular" w:cs="Gautami"/>
          <w:b/>
          <w:bCs/>
          <w:i/>
          <w:iCs/>
          <w:sz w:val="18"/>
          <w:szCs w:val="18"/>
        </w:rPr>
        <w:t>Equita</w:t>
      </w:r>
      <w:proofErr w:type="spellEnd"/>
      <w:r w:rsidRPr="00196176">
        <w:rPr>
          <w:rFonts w:ascii="AvenirNext LT Pro Regular" w:hAnsi="AvenirNext LT Pro Regular" w:cs="Gautami"/>
          <w:b/>
          <w:bCs/>
          <w:i/>
          <w:iCs/>
          <w:sz w:val="18"/>
          <w:szCs w:val="18"/>
        </w:rPr>
        <w:t xml:space="preserve"> Financial Network, Inc. (“</w:t>
      </w:r>
      <w:proofErr w:type="spellStart"/>
      <w:r w:rsidRPr="00196176">
        <w:rPr>
          <w:rFonts w:ascii="AvenirNext LT Pro Regular" w:hAnsi="AvenirNext LT Pro Regular" w:cs="Gautami"/>
          <w:b/>
          <w:bCs/>
          <w:i/>
          <w:iCs/>
          <w:sz w:val="18"/>
          <w:szCs w:val="18"/>
        </w:rPr>
        <w:t>Equita</w:t>
      </w:r>
      <w:proofErr w:type="spellEnd"/>
      <w:r w:rsidRPr="00196176">
        <w:rPr>
          <w:rFonts w:ascii="AvenirNext LT Pro Regular" w:hAnsi="AvenirNext LT Pro Regular" w:cs="Gautami"/>
          <w:b/>
          <w:bCs/>
          <w:i/>
          <w:iCs/>
          <w:sz w:val="18"/>
          <w:szCs w:val="18"/>
        </w:rPr>
        <w:t>”). </w:t>
      </w:r>
      <w:proofErr w:type="spellStart"/>
      <w:r w:rsidRPr="00196176">
        <w:rPr>
          <w:rFonts w:ascii="AvenirNext LT Pro Regular" w:hAnsi="AvenirNext LT Pro Regular" w:cs="Gautami"/>
          <w:b/>
          <w:bCs/>
          <w:i/>
          <w:iCs/>
          <w:sz w:val="18"/>
          <w:szCs w:val="18"/>
        </w:rPr>
        <w:t>Equita</w:t>
      </w:r>
      <w:proofErr w:type="spellEnd"/>
      <w:r w:rsidRPr="00196176">
        <w:rPr>
          <w:rFonts w:ascii="AvenirNext LT Pro Regular" w:hAnsi="AvenirNext LT Pro Regular" w:cs="Gautami"/>
          <w:b/>
          <w:bCs/>
          <w:i/>
          <w:iCs/>
          <w:sz w:val="18"/>
          <w:szCs w:val="18"/>
        </w:rPr>
        <w:t xml:space="preserve"> also markets investment advisory services under the name </w:t>
      </w:r>
      <w:r w:rsidR="005253DF">
        <w:rPr>
          <w:rFonts w:ascii="AvenirNext LT Pro Regular" w:hAnsi="AvenirNext LT Pro Regular" w:cs="Gautami"/>
          <w:b/>
          <w:bCs/>
          <w:i/>
          <w:iCs/>
          <w:sz w:val="18"/>
          <w:szCs w:val="18"/>
        </w:rPr>
        <w:t xml:space="preserve">Next Step Financial. </w:t>
      </w:r>
      <w:r w:rsidRPr="00196176">
        <w:rPr>
          <w:rFonts w:ascii="AvenirNext LT Pro Regular" w:hAnsi="AvenirNext LT Pro Regular" w:cs="Gautami"/>
          <w:b/>
          <w:bCs/>
          <w:i/>
          <w:iCs/>
          <w:sz w:val="18"/>
          <w:szCs w:val="18"/>
        </w:rPr>
        <w:t xml:space="preserve">East Bay Investment Solutions and </w:t>
      </w:r>
      <w:proofErr w:type="spellStart"/>
      <w:r w:rsidRPr="00196176">
        <w:rPr>
          <w:rFonts w:ascii="AvenirNext LT Pro Regular" w:hAnsi="AvenirNext LT Pro Regular" w:cs="Gautami"/>
          <w:b/>
          <w:bCs/>
          <w:i/>
          <w:iCs/>
          <w:sz w:val="18"/>
          <w:szCs w:val="18"/>
        </w:rPr>
        <w:t>Equita</w:t>
      </w:r>
      <w:proofErr w:type="spellEnd"/>
      <w:r w:rsidRPr="00196176">
        <w:rPr>
          <w:rFonts w:ascii="AvenirNext LT Pro Regular" w:hAnsi="AvenirNext LT Pro Regular" w:cs="Gautami"/>
          <w:b/>
          <w:bCs/>
          <w:i/>
          <w:iCs/>
          <w:sz w:val="18"/>
          <w:szCs w:val="18"/>
        </w:rPr>
        <w:t xml:space="preserve"> Financial Network, Inc. have an arrangement whereby East Bay Investment Solutions, a Registered Investment Advisory firm, provides model recommendations on a consulting basis to </w:t>
      </w:r>
      <w:proofErr w:type="spellStart"/>
      <w:r w:rsidRPr="00196176">
        <w:rPr>
          <w:rFonts w:ascii="AvenirNext LT Pro Regular" w:hAnsi="AvenirNext LT Pro Regular" w:cs="Gautami"/>
          <w:b/>
          <w:bCs/>
          <w:i/>
          <w:iCs/>
          <w:sz w:val="18"/>
          <w:szCs w:val="18"/>
        </w:rPr>
        <w:t>Equita</w:t>
      </w:r>
      <w:proofErr w:type="spellEnd"/>
      <w:r w:rsidRPr="00196176">
        <w:rPr>
          <w:rFonts w:ascii="AvenirNext LT Pro Regular" w:hAnsi="AvenirNext LT Pro Regular" w:cs="Gautami"/>
          <w:b/>
          <w:bCs/>
          <w:i/>
          <w:iCs/>
          <w:sz w:val="18"/>
          <w:szCs w:val="18"/>
        </w:rPr>
        <w:t xml:space="preserve"> Financial Network, Inc. </w:t>
      </w:r>
      <w:proofErr w:type="spellStart"/>
      <w:r w:rsidRPr="00196176">
        <w:rPr>
          <w:rFonts w:ascii="AvenirNext LT Pro Regular" w:hAnsi="AvenirNext LT Pro Regular" w:cs="Gautami"/>
          <w:b/>
          <w:bCs/>
          <w:i/>
          <w:iCs/>
          <w:sz w:val="18"/>
          <w:szCs w:val="18"/>
        </w:rPr>
        <w:t>Equita</w:t>
      </w:r>
      <w:proofErr w:type="spellEnd"/>
      <w:r w:rsidRPr="00196176">
        <w:rPr>
          <w:rFonts w:ascii="AvenirNext LT Pro Regular" w:hAnsi="AvenirNext LT Pro Regular" w:cs="Gautami"/>
          <w:b/>
          <w:bCs/>
          <w:i/>
          <w:iCs/>
          <w:sz w:val="18"/>
          <w:szCs w:val="18"/>
        </w:rPr>
        <w:t xml:space="preserve"> Financial Network, Inc. maintains full discretion and trading authority over its clients’ accounts.</w:t>
      </w:r>
    </w:p>
    <w:p w14:paraId="2EE89FAE" w14:textId="77777777" w:rsidR="00850BE1" w:rsidRPr="00196176" w:rsidRDefault="00850BE1" w:rsidP="00850BE1">
      <w:pPr>
        <w:rPr>
          <w:rFonts w:ascii="AvenirNext LT Pro Regular" w:hAnsi="AvenirNext LT Pro Regular" w:cs="Gautami"/>
          <w:b/>
          <w:bCs/>
          <w:i/>
          <w:iCs/>
          <w:sz w:val="18"/>
          <w:szCs w:val="18"/>
        </w:rPr>
      </w:pPr>
    </w:p>
    <w:p w14:paraId="2D42A6C3" w14:textId="77777777" w:rsidR="00850BE1" w:rsidRDefault="00850BE1" w:rsidP="00850BE1">
      <w:pPr>
        <w:rPr>
          <w:rFonts w:ascii="AvenirNext LT Pro Regular" w:hAnsi="AvenirNext LT Pro Regular" w:cs="Gautami"/>
          <w:b/>
          <w:bCs/>
          <w:i/>
          <w:iCs/>
          <w:sz w:val="18"/>
          <w:szCs w:val="18"/>
        </w:rPr>
      </w:pPr>
      <w:r w:rsidRPr="00196176">
        <w:rPr>
          <w:rFonts w:ascii="AvenirNext LT Pro Regular" w:hAnsi="AvenirNext LT Pro Regular" w:cs="Gautami"/>
          <w:b/>
          <w:bCs/>
          <w:i/>
          <w:iCs/>
          <w:sz w:val="18"/>
          <w:szCs w:val="18"/>
        </w:rPr>
        <w:t xml:space="preserve">This document contains general information, may be based on authorities that are subject to change, and is not a substitute for professional advice or services. This document does not constitute tax, consulting, business, financial, investment, legal or other professional advice, and you should consult a qualified professional advisor before taking any action based on the information herein. This document is intended for the exclusive use of clients or prospective clients of </w:t>
      </w:r>
      <w:proofErr w:type="spellStart"/>
      <w:r w:rsidRPr="00196176">
        <w:rPr>
          <w:rFonts w:ascii="AvenirNext LT Pro Regular" w:hAnsi="AvenirNext LT Pro Regular" w:cs="Gautami"/>
          <w:b/>
          <w:bCs/>
          <w:i/>
          <w:iCs/>
          <w:sz w:val="18"/>
          <w:szCs w:val="18"/>
        </w:rPr>
        <w:t>Equita</w:t>
      </w:r>
      <w:proofErr w:type="spellEnd"/>
      <w:r w:rsidRPr="00196176">
        <w:rPr>
          <w:rFonts w:ascii="AvenirNext LT Pro Regular" w:hAnsi="AvenirNext LT Pro Regular" w:cs="Gautami"/>
          <w:b/>
          <w:bCs/>
          <w:i/>
          <w:iCs/>
          <w:sz w:val="18"/>
          <w:szCs w:val="18"/>
        </w:rPr>
        <w:t xml:space="preserve"> Financial Network, Inc. Content is privileged and confidential. Information has been obtained by a variety of sources believed to be reliable though not independently verified. To the extent capital markets assumptions or projections are used, actual returns, volatilities and correlations will differ from assumptions. Historical and forecasted information does not include advisory fees, transaction fees, custody fees, taxes or any other expenses associated with investable products. Actual expenses will detract from performance. Past performance does not indicate future performance.</w:t>
      </w:r>
    </w:p>
    <w:p w14:paraId="7104446E" w14:textId="77777777" w:rsidR="00850BE1" w:rsidRPr="00196176" w:rsidRDefault="00850BE1" w:rsidP="00850BE1">
      <w:pPr>
        <w:rPr>
          <w:rFonts w:ascii="AvenirNext LT Pro Regular" w:hAnsi="AvenirNext LT Pro Regular" w:cs="Gautami"/>
          <w:b/>
          <w:bCs/>
          <w:i/>
          <w:iCs/>
          <w:sz w:val="18"/>
          <w:szCs w:val="18"/>
        </w:rPr>
      </w:pPr>
    </w:p>
    <w:p w14:paraId="4BC215A3" w14:textId="77777777" w:rsidR="00850BE1" w:rsidRDefault="00850BE1" w:rsidP="00850BE1">
      <w:pPr>
        <w:rPr>
          <w:rFonts w:ascii="AvenirNext LT Pro Regular" w:hAnsi="AvenirNext LT Pro Regular" w:cs="Gautami"/>
          <w:b/>
          <w:bCs/>
          <w:i/>
          <w:iCs/>
          <w:sz w:val="18"/>
          <w:szCs w:val="18"/>
        </w:rPr>
      </w:pPr>
      <w:r w:rsidRPr="00196176">
        <w:rPr>
          <w:rFonts w:ascii="AvenirNext LT Pro Regular" w:hAnsi="AvenirNext LT Pro Regular" w:cs="Gautami"/>
          <w:b/>
          <w:bCs/>
          <w:i/>
          <w:iCs/>
          <w:sz w:val="18"/>
          <w:szCs w:val="18"/>
        </w:rPr>
        <w:t xml:space="preserve">The sole purpose of this document is to inform, and it is not intended to be an offer or solicitation to purchase or sell any security, or investment or service. Investments mentioned in this document may not be suitable for investors. Before making any investment, each investor should carefully consider the risks associated with the investment and </w:t>
      </w:r>
      <w:proofErr w:type="gramStart"/>
      <w:r w:rsidRPr="00196176">
        <w:rPr>
          <w:rFonts w:ascii="AvenirNext LT Pro Regular" w:hAnsi="AvenirNext LT Pro Regular" w:cs="Gautami"/>
          <w:b/>
          <w:bCs/>
          <w:i/>
          <w:iCs/>
          <w:sz w:val="18"/>
          <w:szCs w:val="18"/>
        </w:rPr>
        <w:t>make a determination</w:t>
      </w:r>
      <w:proofErr w:type="gramEnd"/>
      <w:r w:rsidRPr="00196176">
        <w:rPr>
          <w:rFonts w:ascii="AvenirNext LT Pro Regular" w:hAnsi="AvenirNext LT Pro Regular" w:cs="Gautami"/>
          <w:b/>
          <w:bCs/>
          <w:i/>
          <w:iCs/>
          <w:sz w:val="18"/>
          <w:szCs w:val="18"/>
        </w:rPr>
        <w:t xml:space="preserve"> based on the investor’s own particular circumstances, that the investment is consistent with the investor’s investment objectives.  Information in this document was prepared by East Bay Investment </w:t>
      </w:r>
      <w:proofErr w:type="gramStart"/>
      <w:r w:rsidRPr="00196176">
        <w:rPr>
          <w:rFonts w:ascii="AvenirNext LT Pro Regular" w:hAnsi="AvenirNext LT Pro Regular" w:cs="Gautami"/>
          <w:b/>
          <w:bCs/>
          <w:i/>
          <w:iCs/>
          <w:sz w:val="18"/>
          <w:szCs w:val="18"/>
        </w:rPr>
        <w:t>Solutions, and</w:t>
      </w:r>
      <w:proofErr w:type="gramEnd"/>
      <w:r w:rsidRPr="00196176">
        <w:rPr>
          <w:rFonts w:ascii="AvenirNext LT Pro Regular" w:hAnsi="AvenirNext LT Pro Regular" w:cs="Gautami"/>
          <w:b/>
          <w:bCs/>
          <w:i/>
          <w:iCs/>
          <w:sz w:val="18"/>
          <w:szCs w:val="18"/>
        </w:rPr>
        <w:t xml:space="preserve"> modified by </w:t>
      </w:r>
      <w:proofErr w:type="spellStart"/>
      <w:r w:rsidRPr="00196176">
        <w:rPr>
          <w:rFonts w:ascii="AvenirNext LT Pro Regular" w:hAnsi="AvenirNext LT Pro Regular" w:cs="Gautami"/>
          <w:b/>
          <w:bCs/>
          <w:i/>
          <w:iCs/>
          <w:sz w:val="18"/>
          <w:szCs w:val="18"/>
        </w:rPr>
        <w:t>Equita</w:t>
      </w:r>
      <w:proofErr w:type="spellEnd"/>
      <w:r w:rsidRPr="00196176">
        <w:rPr>
          <w:rFonts w:ascii="AvenirNext LT Pro Regular" w:hAnsi="AvenirNext LT Pro Regular" w:cs="Gautami"/>
          <w:b/>
          <w:bCs/>
          <w:i/>
          <w:iCs/>
          <w:sz w:val="18"/>
          <w:szCs w:val="18"/>
        </w:rPr>
        <w:t xml:space="preserve">. Although information in this document has been obtained from sources believed to be reliable, East Bay Investment Solutions and </w:t>
      </w:r>
      <w:proofErr w:type="spellStart"/>
      <w:r w:rsidRPr="00196176">
        <w:rPr>
          <w:rFonts w:ascii="AvenirNext LT Pro Regular" w:hAnsi="AvenirNext LT Pro Regular" w:cs="Gautami"/>
          <w:b/>
          <w:bCs/>
          <w:i/>
          <w:iCs/>
          <w:sz w:val="18"/>
          <w:szCs w:val="18"/>
        </w:rPr>
        <w:t>Equita</w:t>
      </w:r>
      <w:proofErr w:type="spellEnd"/>
      <w:r w:rsidRPr="00196176">
        <w:rPr>
          <w:rFonts w:ascii="AvenirNext LT Pro Regular" w:hAnsi="AvenirNext LT Pro Regular" w:cs="Gautami"/>
          <w:b/>
          <w:bCs/>
          <w:i/>
          <w:iCs/>
          <w:sz w:val="18"/>
          <w:szCs w:val="18"/>
        </w:rPr>
        <w:t xml:space="preserve"> does not guarantee its accuracy, completeness or reliability and are not responsible or liable for any direct, </w:t>
      </w:r>
      <w:proofErr w:type="gramStart"/>
      <w:r w:rsidRPr="00196176">
        <w:rPr>
          <w:rFonts w:ascii="AvenirNext LT Pro Regular" w:hAnsi="AvenirNext LT Pro Regular" w:cs="Gautami"/>
          <w:b/>
          <w:bCs/>
          <w:i/>
          <w:iCs/>
          <w:sz w:val="18"/>
          <w:szCs w:val="18"/>
        </w:rPr>
        <w:t>indirect</w:t>
      </w:r>
      <w:proofErr w:type="gramEnd"/>
      <w:r w:rsidRPr="00196176">
        <w:rPr>
          <w:rFonts w:ascii="AvenirNext LT Pro Regular" w:hAnsi="AvenirNext LT Pro Regular" w:cs="Gautami"/>
          <w:b/>
          <w:bCs/>
          <w:i/>
          <w:iCs/>
          <w:sz w:val="18"/>
          <w:szCs w:val="18"/>
        </w:rPr>
        <w:t xml:space="preserve"> or consequential losses from its use.  Any such information may be incomplete or condensed and is subject to change without notice.</w:t>
      </w:r>
    </w:p>
    <w:p w14:paraId="6FC4FAC9" w14:textId="77777777" w:rsidR="00850BE1" w:rsidRPr="00196176" w:rsidRDefault="00850BE1" w:rsidP="00850BE1">
      <w:pPr>
        <w:rPr>
          <w:rFonts w:ascii="AvenirNext LT Pro Regular" w:hAnsi="AvenirNext LT Pro Regular" w:cs="Gautami"/>
          <w:b/>
          <w:bCs/>
          <w:i/>
          <w:iCs/>
          <w:sz w:val="18"/>
          <w:szCs w:val="18"/>
        </w:rPr>
      </w:pPr>
    </w:p>
    <w:p w14:paraId="72D5D26C" w14:textId="77777777" w:rsidR="00850BE1" w:rsidRPr="00641888" w:rsidRDefault="00850BE1" w:rsidP="00850BE1">
      <w:pPr>
        <w:rPr>
          <w:rFonts w:ascii="AvenirNext LT Pro Regular" w:hAnsi="AvenirNext LT Pro Regular" w:cs="Gautami"/>
          <w:b/>
          <w:bCs/>
          <w:i/>
          <w:iCs/>
          <w:sz w:val="18"/>
          <w:szCs w:val="18"/>
        </w:rPr>
      </w:pPr>
      <w:r w:rsidRPr="00196176">
        <w:rPr>
          <w:rFonts w:ascii="AvenirNext LT Pro Regular" w:hAnsi="AvenirNext LT Pro Regular" w:cs="Gautami"/>
          <w:b/>
          <w:bCs/>
          <w:i/>
          <w:iCs/>
          <w:sz w:val="18"/>
          <w:szCs w:val="18"/>
        </w:rPr>
        <w:t>Visit </w:t>
      </w:r>
      <w:hyperlink r:id="rId21" w:tgtFrame="_blank" w:history="1">
        <w:r w:rsidRPr="00196176">
          <w:rPr>
            <w:rStyle w:val="Hyperlink"/>
            <w:rFonts w:ascii="AvenirNext LT Pro Regular" w:hAnsi="AvenirNext LT Pro Regular" w:cs="Gautami"/>
            <w:b/>
            <w:bCs/>
            <w:i/>
            <w:iCs/>
            <w:sz w:val="18"/>
            <w:szCs w:val="18"/>
          </w:rPr>
          <w:t>eastbayis.com</w:t>
        </w:r>
      </w:hyperlink>
      <w:r w:rsidRPr="00196176">
        <w:rPr>
          <w:rFonts w:ascii="AvenirNext LT Pro Regular" w:hAnsi="AvenirNext LT Pro Regular" w:cs="Gautami"/>
          <w:b/>
          <w:bCs/>
          <w:i/>
          <w:iCs/>
          <w:sz w:val="18"/>
          <w:szCs w:val="18"/>
        </w:rPr>
        <w:t> or more information regarding East Bay Investment Solutions.</w:t>
      </w:r>
      <w:r>
        <w:rPr>
          <w:rFonts w:ascii="AvenirNext LT Pro Regular" w:hAnsi="AvenirNext LT Pro Regular" w:cs="Tahoma"/>
          <w:sz w:val="20"/>
          <w:szCs w:val="20"/>
        </w:rPr>
        <w:t xml:space="preserve"> </w:t>
      </w:r>
    </w:p>
    <w:p w14:paraId="02F5F3CF" w14:textId="0403A261" w:rsidR="00790C1B" w:rsidRPr="00AA6AA6" w:rsidRDefault="00790C1B" w:rsidP="00790C1B">
      <w:pPr>
        <w:rPr>
          <w:rFonts w:ascii="AvenirNext LT Pro Regular" w:hAnsi="AvenirNext LT Pro Regular" w:cs="Tahoma"/>
          <w:sz w:val="20"/>
          <w:szCs w:val="20"/>
        </w:rPr>
      </w:pPr>
      <w:r>
        <w:rPr>
          <w:rFonts w:ascii="AvenirNext LT Pro Regular" w:hAnsi="AvenirNext LT Pro Regular" w:cs="Tahoma"/>
          <w:sz w:val="20"/>
          <w:szCs w:val="20"/>
        </w:rPr>
        <w:t xml:space="preserve"> </w:t>
      </w:r>
    </w:p>
    <w:sectPr w:rsidR="00790C1B" w:rsidRPr="00AA6AA6" w:rsidSect="004A76CA">
      <w:type w:val="continuous"/>
      <w:pgSz w:w="12240" w:h="15840"/>
      <w:pgMar w:top="1668" w:right="1080" w:bottom="864" w:left="108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8BDAB" w14:textId="77777777" w:rsidR="004A76CA" w:rsidRDefault="004A76CA" w:rsidP="000D5F6C">
      <w:r>
        <w:separator/>
      </w:r>
    </w:p>
  </w:endnote>
  <w:endnote w:type="continuationSeparator" w:id="0">
    <w:p w14:paraId="57A6149B" w14:textId="77777777" w:rsidR="004A76CA" w:rsidRDefault="004A76CA" w:rsidP="000D5F6C">
      <w:r>
        <w:continuationSeparator/>
      </w:r>
    </w:p>
  </w:endnote>
  <w:endnote w:type="continuationNotice" w:id="1">
    <w:p w14:paraId="2F82B69F" w14:textId="77777777" w:rsidR="004A76CA" w:rsidRDefault="004A76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riam Fixed">
    <w:charset w:val="B1"/>
    <w:family w:val="modern"/>
    <w:pitch w:val="fixed"/>
    <w:sig w:usb0="00000803" w:usb1="00000000" w:usb2="00000000" w:usb3="00000000" w:csb0="00000021" w:csb1="00000000"/>
    <w:embedRegular r:id="rId1" w:fontKey="{A5001851-B80A-458C-ACC6-5BCE5F81D7F6}"/>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40707BAD-A98C-499B-88B1-E93242669B98}"/>
  </w:font>
  <w:font w:name="Segoe UI">
    <w:panose1 w:val="020B0502040204020203"/>
    <w:charset w:val="00"/>
    <w:family w:val="swiss"/>
    <w:pitch w:val="variable"/>
    <w:sig w:usb0="E4002EFF" w:usb1="C000E47F" w:usb2="00000009" w:usb3="00000000" w:csb0="000001FF" w:csb1="00000000"/>
    <w:embedRegular r:id="rId3" w:fontKey="{99E71CF1-ED87-4C94-8664-E2DAC8429C28}"/>
  </w:font>
  <w:font w:name="Source Sans Pro">
    <w:charset w:val="00"/>
    <w:family w:val="swiss"/>
    <w:pitch w:val="variable"/>
    <w:sig w:usb0="600002F7" w:usb1="02000001" w:usb2="00000000" w:usb3="00000000" w:csb0="0000019F" w:csb1="00000000"/>
    <w:embedRegular r:id="rId4" w:fontKey="{7C5B2560-30A1-4E02-B57A-F52CC96491F7}"/>
    <w:embedBold r:id="rId5" w:fontKey="{E60C93C3-565C-47F0-8B2A-2D2A8D850B3E}"/>
  </w:font>
  <w:font w:name="Tahoma">
    <w:panose1 w:val="020B0604030504040204"/>
    <w:charset w:val="00"/>
    <w:family w:val="swiss"/>
    <w:pitch w:val="variable"/>
    <w:sig w:usb0="E1002EFF" w:usb1="C000605B" w:usb2="00000029" w:usb3="00000000" w:csb0="000101FF" w:csb1="00000000"/>
    <w:embedRegular r:id="rId6" w:fontKey="{2AF88295-374C-4571-AD7E-ED647629DCE9}"/>
    <w:embedBold r:id="rId7" w:fontKey="{E0C1EB04-7C47-465F-9609-A2D8C230623F}"/>
  </w:font>
  <w:font w:name="AvenirNext LT Pro Regular">
    <w:altName w:val="Calibri"/>
    <w:panose1 w:val="00000000000000000000"/>
    <w:charset w:val="00"/>
    <w:family w:val="swiss"/>
    <w:notTrueType/>
    <w:pitch w:val="variable"/>
    <w:sig w:usb0="800000AF" w:usb1="5000204A" w:usb2="00000000" w:usb3="00000000" w:csb0="0000009B" w:csb1="00000000"/>
  </w:font>
  <w:font w:name="Akzidenz Grotesk BE Cn">
    <w:altName w:val="Calibri"/>
    <w:panose1 w:val="00000000000000000000"/>
    <w:charset w:val="00"/>
    <w:family w:val="swiss"/>
    <w:notTrueType/>
    <w:pitch w:val="variable"/>
    <w:sig w:usb0="800000AF" w:usb1="4000004A" w:usb2="00000000" w:usb3="00000000" w:csb0="00000001"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EB05" w14:textId="192E533C" w:rsidR="0041113C" w:rsidRDefault="0041113C">
    <w:pPr>
      <w:pStyle w:val="Footer"/>
    </w:pPr>
    <w:r>
      <w:rPr>
        <w:noProof/>
      </w:rPr>
      <w:drawing>
        <wp:anchor distT="0" distB="0" distL="114300" distR="114300" simplePos="0" relativeHeight="251666434" behindDoc="0" locked="0" layoutInCell="1" allowOverlap="1" wp14:anchorId="7966342E" wp14:editId="139149F8">
          <wp:simplePos x="0" y="0"/>
          <wp:positionH relativeFrom="column">
            <wp:posOffset>539261</wp:posOffset>
          </wp:positionH>
          <wp:positionV relativeFrom="paragraph">
            <wp:posOffset>70338</wp:posOffset>
          </wp:positionV>
          <wp:extent cx="5181600" cy="348594"/>
          <wp:effectExtent l="0" t="0" r="0" b="0"/>
          <wp:wrapNone/>
          <wp:docPr id="1277369746" name="Picture 127736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
                    <a:extLst>
                      <a:ext uri="{28A0092B-C50C-407E-A947-70E740481C1C}">
                        <a14:useLocalDpi xmlns:a14="http://schemas.microsoft.com/office/drawing/2010/main" val="0"/>
                      </a:ext>
                    </a:extLst>
                  </a:blip>
                  <a:srcRect r="15472"/>
                  <a:stretch/>
                </pic:blipFill>
                <pic:spPr bwMode="auto">
                  <a:xfrm>
                    <a:off x="0" y="0"/>
                    <a:ext cx="5181600" cy="3485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3CEA0FE50626475C8097DC34E4B13747"/>
      </w:placeholder>
      <w:temporary/>
      <w:showingPlcHdr/>
      <w15:appearance w15:val="hidden"/>
    </w:sdtPr>
    <w:sdtContent>
      <w:p w14:paraId="621E3593" w14:textId="77777777" w:rsidR="005253DF" w:rsidRDefault="005253DF">
        <w:pPr>
          <w:pStyle w:val="Footer"/>
        </w:pPr>
        <w:r>
          <w:t>[Type here]</w:t>
        </w:r>
      </w:p>
    </w:sdtContent>
  </w:sdt>
  <w:p w14:paraId="290656B3" w14:textId="5BC44978" w:rsidR="00850BE1" w:rsidRDefault="00850B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04ADF" w14:textId="77777777" w:rsidR="004A76CA" w:rsidRDefault="004A76CA" w:rsidP="000D5F6C">
      <w:r>
        <w:separator/>
      </w:r>
    </w:p>
  </w:footnote>
  <w:footnote w:type="continuationSeparator" w:id="0">
    <w:p w14:paraId="404909B0" w14:textId="77777777" w:rsidR="004A76CA" w:rsidRDefault="004A76CA" w:rsidP="000D5F6C">
      <w:r>
        <w:continuationSeparator/>
      </w:r>
    </w:p>
  </w:footnote>
  <w:footnote w:type="continuationNotice" w:id="1">
    <w:p w14:paraId="65FD340D" w14:textId="77777777" w:rsidR="004A76CA" w:rsidRDefault="004A76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13B28" w14:textId="3FA2D828" w:rsidR="00E04755" w:rsidRDefault="005253DF" w:rsidP="000D49BC">
    <w:pPr>
      <w:pStyle w:val="Header"/>
      <w:ind w:left="-720"/>
    </w:pPr>
    <w:r>
      <w:rPr>
        <w:noProof/>
      </w:rPr>
      <w:drawing>
        <wp:inline distT="0" distB="0" distL="0" distR="0" wp14:anchorId="654B5517" wp14:editId="0E2C9F97">
          <wp:extent cx="3151533" cy="803829"/>
          <wp:effectExtent l="0" t="0" r="0" b="0"/>
          <wp:docPr id="2058347276"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47276"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25449" cy="822682"/>
                  </a:xfrm>
                  <a:prstGeom prst="rect">
                    <a:avLst/>
                  </a:prstGeom>
                </pic:spPr>
              </pic:pic>
            </a:graphicData>
          </a:graphic>
        </wp:inline>
      </w:drawing>
    </w:r>
    <w:r w:rsidR="00FE3001">
      <w:rPr>
        <w:noProof/>
      </w:rPr>
      <mc:AlternateContent>
        <mc:Choice Requires="wps">
          <w:drawing>
            <wp:anchor distT="0" distB="0" distL="114300" distR="114300" simplePos="0" relativeHeight="251658242" behindDoc="0" locked="0" layoutInCell="1" allowOverlap="1" wp14:anchorId="42F311B3" wp14:editId="4958E8F0">
              <wp:simplePos x="0" y="0"/>
              <wp:positionH relativeFrom="column">
                <wp:posOffset>5125085</wp:posOffset>
              </wp:positionH>
              <wp:positionV relativeFrom="paragraph">
                <wp:posOffset>290293</wp:posOffset>
              </wp:positionV>
              <wp:extent cx="1609969" cy="46892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09969" cy="46892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3947FF" w14:textId="332076C9" w:rsidR="00FE3001" w:rsidRPr="00FE3001" w:rsidRDefault="00FE3001">
                          <w:pPr>
                            <w:rPr>
                              <w:rFonts w:ascii="Century Gothic" w:hAnsi="Century Gothic" w:cs="Arial"/>
                              <w:color w:val="AEAAAA" w:themeColor="background2" w:themeShade="BF"/>
                              <w:sz w:val="18"/>
                              <w:szCs w:val="18"/>
                            </w:rPr>
                          </w:pPr>
                          <w:r w:rsidRPr="00FE3001">
                            <w:rPr>
                              <w:rFonts w:ascii="Century Gothic" w:hAnsi="Century Gothic" w:cs="Arial"/>
                              <w:color w:val="AEAAAA" w:themeColor="background2" w:themeShade="BF"/>
                              <w:sz w:val="18"/>
                              <w:szCs w:val="18"/>
                            </w:rPr>
                            <w:t xml:space="preserve">QUARTERLY INVESTMENT COMMENTARY – </w:t>
                          </w:r>
                          <w:r w:rsidR="00BA188D">
                            <w:rPr>
                              <w:rFonts w:ascii="Century Gothic" w:hAnsi="Century Gothic" w:cs="Arial"/>
                              <w:color w:val="AEAAAA" w:themeColor="background2" w:themeShade="BF"/>
                              <w:sz w:val="18"/>
                              <w:szCs w:val="18"/>
                            </w:rPr>
                            <w:t>Q</w:t>
                          </w:r>
                          <w:r w:rsidR="001370EE">
                            <w:rPr>
                              <w:rFonts w:ascii="Century Gothic" w:hAnsi="Century Gothic" w:cs="Arial"/>
                              <w:color w:val="AEAAAA" w:themeColor="background2" w:themeShade="BF"/>
                              <w:sz w:val="18"/>
                              <w:szCs w:val="18"/>
                            </w:rPr>
                            <w:t>4</w:t>
                          </w:r>
                          <w:r w:rsidRPr="00FE3001">
                            <w:rPr>
                              <w:rFonts w:ascii="Century Gothic" w:hAnsi="Century Gothic" w:cs="Arial"/>
                              <w:color w:val="AEAAAA" w:themeColor="background2" w:themeShade="BF"/>
                              <w:sz w:val="18"/>
                              <w:szCs w:val="18"/>
                            </w:rPr>
                            <w:t xml:space="preserve"> 202</w:t>
                          </w:r>
                          <w:r w:rsidR="00B32135">
                            <w:rPr>
                              <w:rFonts w:ascii="Century Gothic" w:hAnsi="Century Gothic" w:cs="Arial"/>
                              <w:color w:val="AEAAAA" w:themeColor="background2" w:themeShade="BF"/>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F311B3" id="_x0000_t202" coordsize="21600,21600" o:spt="202" path="m,l,21600r21600,l21600,xe">
              <v:stroke joinstyle="miter"/>
              <v:path gradientshapeok="t" o:connecttype="rect"/>
            </v:shapetype>
            <v:shape id="Text Box 15" o:spid="_x0000_s1028" type="#_x0000_t202" style="position:absolute;left:0;text-align:left;margin-left:403.55pt;margin-top:22.85pt;width:126.75pt;height:36.9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LtZAIAAC8FAAAOAAAAZHJzL2Uyb0RvYy54bWysVN9v2jAQfp+0/8Hy+wgwxgoiVIyKaRJq&#10;q7VTn41jQzTH550NCfvrd3YCZd1eOu0lse/3ffedZ9dNZdhBoS/B5nzQ63OmrISitNucf3tcvbvi&#10;zAdhC2HAqpwflefX87dvZrWbqiHswBQKGQWxflq7nO9CcNMs83KnKuF74JQlpQasRKArbrMCRU3R&#10;K5MN+/1xVgMWDkEq70l60yr5PMXXWslwp7VXgZmcU20hfTF9N/GbzWdiukXhdqXsyhD/UEUlSktJ&#10;z6FuRBBsj+UfoapSInjQoSehykDrUqrUA3Uz6L/o5mEnnEq9EDjenWHy/y+svD08uHtkofkEDQ0w&#10;AlI7P/UkjP00Gqv4p0oZ6QnC4xk21QQmo9O4P5mMJ5xJ0o3GV5Ph+xgme/Z26MNnBRWLh5wjjSWh&#10;JQ5rH1rTk0lMZmFVGpNGY+xvAooZJdlziekUjkZFO2O/Ks3KIlUaBV7idrM0yNqREyepg9PgUzBy&#10;iIaaEr7St3OJ3iox7ZX+Z6eUH2w4+1elBUwApT1QsYGDIAYX39OAqHDd2p+gaAGIWIRm03Qz3EBx&#10;pNEitKz3Tq5Kwn8tfLgXSDQnLGh1wx19tIE659CdONsB/vybPNoT+0jLWU1rk3P/Yy9QcWa+WOLl&#10;ZDAaxT1Ll9GHj0O64KVmc6mx+2oJ1NeAHgkn0zHaB3M6aoTqiTZ8EbOSSlhJuXMeTsdlaCdLL4RU&#10;i0Uyos1yIqztg5MxdIQ3suuxeRLoOgoGIu8tnBZMTF8wsbWNnhYW+wC6TDSNALeodsDTViaidy9I&#10;XPvLe7J6fufmvwAAAP//AwBQSwMEFAAGAAgAAAAhACFozZzfAAAACwEAAA8AAABkcnMvZG93bnJl&#10;di54bWxMj01PwzAMhu9I+w+RJ3FjSae120rTaQJxBTE+JG5Z47UVjVM12Vr+Pd4Jbrb86PXzFrvJ&#10;deKCQ2g9aUgWCgRS5W1LtYb3t6e7DYgQDVnTeUINPxhgV85uCpNbP9IrXg6xFhxCITcamhj7XMpQ&#10;NehMWPgeiW8nPzgTeR1qaQczcrjr5FKpTDrTEn9oTI8PDVbfh7PT8PF8+vpcqZf60aX96CclyW2l&#10;1rfzaX8PIuIU/2C46rM6lOx09GeyQXQaNmqdMKphla5BXAGVqQzEkadkm4IsC/m/Q/kLAAD//wMA&#10;UEsBAi0AFAAGAAgAAAAhALaDOJL+AAAA4QEAABMAAAAAAAAAAAAAAAAAAAAAAFtDb250ZW50X1R5&#10;cGVzXS54bWxQSwECLQAUAAYACAAAACEAOP0h/9YAAACUAQAACwAAAAAAAAAAAAAAAAAvAQAAX3Jl&#10;bHMvLnJlbHNQSwECLQAUAAYACAAAACEAU2li7WQCAAAvBQAADgAAAAAAAAAAAAAAAAAuAgAAZHJz&#10;L2Uyb0RvYy54bWxQSwECLQAUAAYACAAAACEAIWjNnN8AAAALAQAADwAAAAAAAAAAAAAAAAC+BAAA&#10;ZHJzL2Rvd25yZXYueG1sUEsFBgAAAAAEAAQA8wAAAMoFAAAAAA==&#10;" filled="f" stroked="f">
              <v:textbox>
                <w:txbxContent>
                  <w:p w14:paraId="163947FF" w14:textId="332076C9" w:rsidR="00FE3001" w:rsidRPr="00FE3001" w:rsidRDefault="00FE3001">
                    <w:pPr>
                      <w:rPr>
                        <w:rFonts w:ascii="Century Gothic" w:hAnsi="Century Gothic" w:cs="Arial"/>
                        <w:color w:val="AEAAAA" w:themeColor="background2" w:themeShade="BF"/>
                        <w:sz w:val="18"/>
                        <w:szCs w:val="18"/>
                      </w:rPr>
                    </w:pPr>
                    <w:r w:rsidRPr="00FE3001">
                      <w:rPr>
                        <w:rFonts w:ascii="Century Gothic" w:hAnsi="Century Gothic" w:cs="Arial"/>
                        <w:color w:val="AEAAAA" w:themeColor="background2" w:themeShade="BF"/>
                        <w:sz w:val="18"/>
                        <w:szCs w:val="18"/>
                      </w:rPr>
                      <w:t xml:space="preserve">QUARTERLY INVESTMENT COMMENTARY – </w:t>
                    </w:r>
                    <w:r w:rsidR="00BA188D">
                      <w:rPr>
                        <w:rFonts w:ascii="Century Gothic" w:hAnsi="Century Gothic" w:cs="Arial"/>
                        <w:color w:val="AEAAAA" w:themeColor="background2" w:themeShade="BF"/>
                        <w:sz w:val="18"/>
                        <w:szCs w:val="18"/>
                      </w:rPr>
                      <w:t>Q</w:t>
                    </w:r>
                    <w:r w:rsidR="001370EE">
                      <w:rPr>
                        <w:rFonts w:ascii="Century Gothic" w:hAnsi="Century Gothic" w:cs="Arial"/>
                        <w:color w:val="AEAAAA" w:themeColor="background2" w:themeShade="BF"/>
                        <w:sz w:val="18"/>
                        <w:szCs w:val="18"/>
                      </w:rPr>
                      <w:t>4</w:t>
                    </w:r>
                    <w:r w:rsidRPr="00FE3001">
                      <w:rPr>
                        <w:rFonts w:ascii="Century Gothic" w:hAnsi="Century Gothic" w:cs="Arial"/>
                        <w:color w:val="AEAAAA" w:themeColor="background2" w:themeShade="BF"/>
                        <w:sz w:val="18"/>
                        <w:szCs w:val="18"/>
                      </w:rPr>
                      <w:t xml:space="preserve"> 202</w:t>
                    </w:r>
                    <w:r w:rsidR="00B32135">
                      <w:rPr>
                        <w:rFonts w:ascii="Century Gothic" w:hAnsi="Century Gothic" w:cs="Arial"/>
                        <w:color w:val="AEAAAA" w:themeColor="background2" w:themeShade="BF"/>
                        <w:sz w:val="18"/>
                        <w:szCs w:val="18"/>
                      </w:rPr>
                      <w:t>3</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A29" w14:textId="2B850550" w:rsidR="005253DF" w:rsidRDefault="005253DF">
    <w:pPr>
      <w:pStyle w:val="Header"/>
    </w:pPr>
    <w:r>
      <w:rPr>
        <w:noProof/>
      </w:rPr>
      <w:drawing>
        <wp:inline distT="0" distB="0" distL="0" distR="0" wp14:anchorId="4C7662F6" wp14:editId="2D6CA99D">
          <wp:extent cx="2770363" cy="697813"/>
          <wp:effectExtent l="0" t="0" r="0" b="7620"/>
          <wp:docPr id="2138231597" name="Picture 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31597" name="Picture 1"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47443" cy="717228"/>
                  </a:xfrm>
                  <a:prstGeom prst="rect">
                    <a:avLst/>
                  </a:prstGeom>
                </pic:spPr>
              </pic:pic>
            </a:graphicData>
          </a:graphic>
        </wp:inline>
      </w:drawing>
    </w:r>
  </w:p>
  <w:p w14:paraId="7D04A869" w14:textId="77777777" w:rsidR="00E04755" w:rsidRDefault="00E047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13CAF" w14:textId="4835F14F" w:rsidR="00F66088" w:rsidRDefault="00F66088" w:rsidP="0065164E">
    <w:pPr>
      <w:pStyle w:val="Header"/>
      <w:ind w:left="-810"/>
      <w:rPr>
        <w:rFonts w:ascii="Akzidenz Grotesk BE Cn" w:hAnsi="Akzidenz Grotesk BE Cn"/>
        <w:b/>
        <w:noProof/>
        <w:sz w:val="56"/>
        <w:szCs w:val="56"/>
      </w:rPr>
    </w:pPr>
    <w:r>
      <w:rPr>
        <w:rFonts w:ascii="Akzidenz Grotesk BE Cn" w:hAnsi="Akzidenz Grotesk BE Cn"/>
        <w:b/>
        <w:noProof/>
        <w:sz w:val="56"/>
        <w:szCs w:val="56"/>
      </w:rPr>
      <w:t xml:space="preserve"> </w:t>
    </w:r>
  </w:p>
  <w:p w14:paraId="3B81DBF8" w14:textId="77777777" w:rsidR="00F66088" w:rsidRDefault="00F66088" w:rsidP="0065164E">
    <w:pPr>
      <w:ind w:left="-270" w:right="-630"/>
      <w:rPr>
        <w:rFonts w:ascii="Tahoma" w:hAnsi="Tahoma" w:cs="Tahoma"/>
        <w:b/>
        <w:noProof/>
        <w:color w:val="13284B"/>
        <w:sz w:val="44"/>
        <w:szCs w:val="44"/>
      </w:rPr>
    </w:pPr>
  </w:p>
  <w:p w14:paraId="049C067C" w14:textId="77777777" w:rsidR="00F66088" w:rsidRDefault="00F660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E2CA8"/>
    <w:multiLevelType w:val="hybridMultilevel"/>
    <w:tmpl w:val="AAD41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05B23"/>
    <w:multiLevelType w:val="hybridMultilevel"/>
    <w:tmpl w:val="2BF825FA"/>
    <w:lvl w:ilvl="0" w:tplc="3A343A2E">
      <w:start w:val="1"/>
      <w:numFmt w:val="decimal"/>
      <w:lvlText w:val="%1."/>
      <w:lvlJc w:val="left"/>
      <w:pPr>
        <w:tabs>
          <w:tab w:val="num" w:pos="720"/>
        </w:tabs>
        <w:ind w:left="720" w:hanging="360"/>
      </w:pPr>
    </w:lvl>
    <w:lvl w:ilvl="1" w:tplc="835CF274" w:tentative="1">
      <w:start w:val="1"/>
      <w:numFmt w:val="decimal"/>
      <w:lvlText w:val="%2."/>
      <w:lvlJc w:val="left"/>
      <w:pPr>
        <w:tabs>
          <w:tab w:val="num" w:pos="1440"/>
        </w:tabs>
        <w:ind w:left="1440" w:hanging="360"/>
      </w:pPr>
    </w:lvl>
    <w:lvl w:ilvl="2" w:tplc="DFBA9342" w:tentative="1">
      <w:start w:val="1"/>
      <w:numFmt w:val="decimal"/>
      <w:lvlText w:val="%3."/>
      <w:lvlJc w:val="left"/>
      <w:pPr>
        <w:tabs>
          <w:tab w:val="num" w:pos="2160"/>
        </w:tabs>
        <w:ind w:left="2160" w:hanging="360"/>
      </w:pPr>
    </w:lvl>
    <w:lvl w:ilvl="3" w:tplc="AEC2F11C" w:tentative="1">
      <w:start w:val="1"/>
      <w:numFmt w:val="decimal"/>
      <w:lvlText w:val="%4."/>
      <w:lvlJc w:val="left"/>
      <w:pPr>
        <w:tabs>
          <w:tab w:val="num" w:pos="2880"/>
        </w:tabs>
        <w:ind w:left="2880" w:hanging="360"/>
      </w:pPr>
    </w:lvl>
    <w:lvl w:ilvl="4" w:tplc="4CDC2442" w:tentative="1">
      <w:start w:val="1"/>
      <w:numFmt w:val="decimal"/>
      <w:lvlText w:val="%5."/>
      <w:lvlJc w:val="left"/>
      <w:pPr>
        <w:tabs>
          <w:tab w:val="num" w:pos="3600"/>
        </w:tabs>
        <w:ind w:left="3600" w:hanging="360"/>
      </w:pPr>
    </w:lvl>
    <w:lvl w:ilvl="5" w:tplc="3D6809C2" w:tentative="1">
      <w:start w:val="1"/>
      <w:numFmt w:val="decimal"/>
      <w:lvlText w:val="%6."/>
      <w:lvlJc w:val="left"/>
      <w:pPr>
        <w:tabs>
          <w:tab w:val="num" w:pos="4320"/>
        </w:tabs>
        <w:ind w:left="4320" w:hanging="360"/>
      </w:pPr>
    </w:lvl>
    <w:lvl w:ilvl="6" w:tplc="BCC8FC82" w:tentative="1">
      <w:start w:val="1"/>
      <w:numFmt w:val="decimal"/>
      <w:lvlText w:val="%7."/>
      <w:lvlJc w:val="left"/>
      <w:pPr>
        <w:tabs>
          <w:tab w:val="num" w:pos="5040"/>
        </w:tabs>
        <w:ind w:left="5040" w:hanging="360"/>
      </w:pPr>
    </w:lvl>
    <w:lvl w:ilvl="7" w:tplc="CBA861DE" w:tentative="1">
      <w:start w:val="1"/>
      <w:numFmt w:val="decimal"/>
      <w:lvlText w:val="%8."/>
      <w:lvlJc w:val="left"/>
      <w:pPr>
        <w:tabs>
          <w:tab w:val="num" w:pos="5760"/>
        </w:tabs>
        <w:ind w:left="5760" w:hanging="360"/>
      </w:pPr>
    </w:lvl>
    <w:lvl w:ilvl="8" w:tplc="20F4B950" w:tentative="1">
      <w:start w:val="1"/>
      <w:numFmt w:val="decimal"/>
      <w:lvlText w:val="%9."/>
      <w:lvlJc w:val="left"/>
      <w:pPr>
        <w:tabs>
          <w:tab w:val="num" w:pos="6480"/>
        </w:tabs>
        <w:ind w:left="6480" w:hanging="360"/>
      </w:pPr>
    </w:lvl>
  </w:abstractNum>
  <w:abstractNum w:abstractNumId="2" w15:restartNumberingAfterBreak="0">
    <w:nsid w:val="1FE83F51"/>
    <w:multiLevelType w:val="hybridMultilevel"/>
    <w:tmpl w:val="8FECD300"/>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32EA7A98"/>
    <w:multiLevelType w:val="hybridMultilevel"/>
    <w:tmpl w:val="E94A5086"/>
    <w:lvl w:ilvl="0" w:tplc="109A3BFA">
      <w:start w:val="1"/>
      <w:numFmt w:val="bullet"/>
      <w:lvlText w:val="?"/>
      <w:lvlJc w:val="left"/>
      <w:pPr>
        <w:ind w:left="360" w:hanging="360"/>
      </w:pPr>
      <w:rPr>
        <w:rFonts w:ascii="Miriam Fixed" w:hAnsi="Miriam Fixed"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47D5CD4"/>
    <w:multiLevelType w:val="hybridMultilevel"/>
    <w:tmpl w:val="12163304"/>
    <w:lvl w:ilvl="0" w:tplc="0409000D">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3A0A627F"/>
    <w:multiLevelType w:val="hybridMultilevel"/>
    <w:tmpl w:val="C646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2E6057"/>
    <w:multiLevelType w:val="hybridMultilevel"/>
    <w:tmpl w:val="5F2A3D7A"/>
    <w:lvl w:ilvl="0" w:tplc="04090005">
      <w:start w:val="1"/>
      <w:numFmt w:val="bullet"/>
      <w:lvlText w:val=""/>
      <w:lvlJc w:val="left"/>
      <w:pPr>
        <w:ind w:left="547" w:hanging="360"/>
      </w:pPr>
      <w:rPr>
        <w:rFonts w:ascii="Wingdings" w:hAnsi="Wingdings" w:hint="default"/>
      </w:rPr>
    </w:lvl>
    <w:lvl w:ilvl="1" w:tplc="FFFFFFFF">
      <w:start w:val="1"/>
      <w:numFmt w:val="bullet"/>
      <w:lvlText w:val="o"/>
      <w:lvlJc w:val="left"/>
      <w:pPr>
        <w:ind w:left="1267" w:hanging="360"/>
      </w:pPr>
      <w:rPr>
        <w:rFonts w:ascii="Courier New" w:hAnsi="Courier New" w:cs="Courier New" w:hint="default"/>
      </w:rPr>
    </w:lvl>
    <w:lvl w:ilvl="2" w:tplc="FFFFFFFF">
      <w:start w:val="1"/>
      <w:numFmt w:val="bullet"/>
      <w:lvlText w:val=""/>
      <w:lvlJc w:val="left"/>
      <w:pPr>
        <w:ind w:left="1987" w:hanging="360"/>
      </w:pPr>
      <w:rPr>
        <w:rFonts w:ascii="Wingdings" w:hAnsi="Wingdings" w:hint="default"/>
      </w:rPr>
    </w:lvl>
    <w:lvl w:ilvl="3" w:tplc="FFFFFFFF" w:tentative="1">
      <w:start w:val="1"/>
      <w:numFmt w:val="bullet"/>
      <w:lvlText w:val=""/>
      <w:lvlJc w:val="left"/>
      <w:pPr>
        <w:ind w:left="2707" w:hanging="360"/>
      </w:pPr>
      <w:rPr>
        <w:rFonts w:ascii="Symbol" w:hAnsi="Symbol" w:hint="default"/>
      </w:rPr>
    </w:lvl>
    <w:lvl w:ilvl="4" w:tplc="FFFFFFFF" w:tentative="1">
      <w:start w:val="1"/>
      <w:numFmt w:val="bullet"/>
      <w:lvlText w:val="o"/>
      <w:lvlJc w:val="left"/>
      <w:pPr>
        <w:ind w:left="3427" w:hanging="360"/>
      </w:pPr>
      <w:rPr>
        <w:rFonts w:ascii="Courier New" w:hAnsi="Courier New" w:cs="Courier New" w:hint="default"/>
      </w:rPr>
    </w:lvl>
    <w:lvl w:ilvl="5" w:tplc="FFFFFFFF" w:tentative="1">
      <w:start w:val="1"/>
      <w:numFmt w:val="bullet"/>
      <w:lvlText w:val=""/>
      <w:lvlJc w:val="left"/>
      <w:pPr>
        <w:ind w:left="4147" w:hanging="360"/>
      </w:pPr>
      <w:rPr>
        <w:rFonts w:ascii="Wingdings" w:hAnsi="Wingdings" w:hint="default"/>
      </w:rPr>
    </w:lvl>
    <w:lvl w:ilvl="6" w:tplc="FFFFFFFF" w:tentative="1">
      <w:start w:val="1"/>
      <w:numFmt w:val="bullet"/>
      <w:lvlText w:val=""/>
      <w:lvlJc w:val="left"/>
      <w:pPr>
        <w:ind w:left="4867" w:hanging="360"/>
      </w:pPr>
      <w:rPr>
        <w:rFonts w:ascii="Symbol" w:hAnsi="Symbol" w:hint="default"/>
      </w:rPr>
    </w:lvl>
    <w:lvl w:ilvl="7" w:tplc="FFFFFFFF" w:tentative="1">
      <w:start w:val="1"/>
      <w:numFmt w:val="bullet"/>
      <w:lvlText w:val="o"/>
      <w:lvlJc w:val="left"/>
      <w:pPr>
        <w:ind w:left="5587" w:hanging="360"/>
      </w:pPr>
      <w:rPr>
        <w:rFonts w:ascii="Courier New" w:hAnsi="Courier New" w:cs="Courier New" w:hint="default"/>
      </w:rPr>
    </w:lvl>
    <w:lvl w:ilvl="8" w:tplc="FFFFFFFF" w:tentative="1">
      <w:start w:val="1"/>
      <w:numFmt w:val="bullet"/>
      <w:lvlText w:val=""/>
      <w:lvlJc w:val="left"/>
      <w:pPr>
        <w:ind w:left="6307" w:hanging="360"/>
      </w:pPr>
      <w:rPr>
        <w:rFonts w:ascii="Wingdings" w:hAnsi="Wingdings" w:hint="default"/>
      </w:rPr>
    </w:lvl>
  </w:abstractNum>
  <w:abstractNum w:abstractNumId="7" w15:restartNumberingAfterBreak="0">
    <w:nsid w:val="6429514A"/>
    <w:multiLevelType w:val="hybridMultilevel"/>
    <w:tmpl w:val="F8C2B776"/>
    <w:lvl w:ilvl="0" w:tplc="04090005">
      <w:start w:val="1"/>
      <w:numFmt w:val="bullet"/>
      <w:lvlText w:val=""/>
      <w:lvlJc w:val="left"/>
      <w:pPr>
        <w:ind w:left="547" w:hanging="360"/>
      </w:pPr>
      <w:rPr>
        <w:rFonts w:ascii="Wingdings" w:hAnsi="Wingdings" w:hint="default"/>
      </w:rPr>
    </w:lvl>
    <w:lvl w:ilvl="1" w:tplc="04090003">
      <w:start w:val="1"/>
      <w:numFmt w:val="bullet"/>
      <w:lvlText w:val="o"/>
      <w:lvlJc w:val="left"/>
      <w:pPr>
        <w:ind w:left="1267" w:hanging="360"/>
      </w:pPr>
      <w:rPr>
        <w:rFonts w:ascii="Courier New" w:hAnsi="Courier New" w:cs="Courier New" w:hint="default"/>
      </w:rPr>
    </w:lvl>
    <w:lvl w:ilvl="2" w:tplc="04090005">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8" w15:restartNumberingAfterBreak="0">
    <w:nsid w:val="6968193D"/>
    <w:multiLevelType w:val="hybridMultilevel"/>
    <w:tmpl w:val="FBDCE9D6"/>
    <w:lvl w:ilvl="0" w:tplc="7818A19C">
      <w:start w:val="1"/>
      <w:numFmt w:val="decimal"/>
      <w:lvlText w:val="%1."/>
      <w:lvlJc w:val="left"/>
      <w:pPr>
        <w:tabs>
          <w:tab w:val="num" w:pos="720"/>
        </w:tabs>
        <w:ind w:left="720" w:hanging="360"/>
      </w:pPr>
    </w:lvl>
    <w:lvl w:ilvl="1" w:tplc="45A64442" w:tentative="1">
      <w:start w:val="1"/>
      <w:numFmt w:val="decimal"/>
      <w:lvlText w:val="%2."/>
      <w:lvlJc w:val="left"/>
      <w:pPr>
        <w:tabs>
          <w:tab w:val="num" w:pos="1440"/>
        </w:tabs>
        <w:ind w:left="1440" w:hanging="360"/>
      </w:pPr>
    </w:lvl>
    <w:lvl w:ilvl="2" w:tplc="0E1CBD4E" w:tentative="1">
      <w:start w:val="1"/>
      <w:numFmt w:val="decimal"/>
      <w:lvlText w:val="%3."/>
      <w:lvlJc w:val="left"/>
      <w:pPr>
        <w:tabs>
          <w:tab w:val="num" w:pos="2160"/>
        </w:tabs>
        <w:ind w:left="2160" w:hanging="360"/>
      </w:pPr>
    </w:lvl>
    <w:lvl w:ilvl="3" w:tplc="F41A3402" w:tentative="1">
      <w:start w:val="1"/>
      <w:numFmt w:val="decimal"/>
      <w:lvlText w:val="%4."/>
      <w:lvlJc w:val="left"/>
      <w:pPr>
        <w:tabs>
          <w:tab w:val="num" w:pos="2880"/>
        </w:tabs>
        <w:ind w:left="2880" w:hanging="360"/>
      </w:pPr>
    </w:lvl>
    <w:lvl w:ilvl="4" w:tplc="9A182460" w:tentative="1">
      <w:start w:val="1"/>
      <w:numFmt w:val="decimal"/>
      <w:lvlText w:val="%5."/>
      <w:lvlJc w:val="left"/>
      <w:pPr>
        <w:tabs>
          <w:tab w:val="num" w:pos="3600"/>
        </w:tabs>
        <w:ind w:left="3600" w:hanging="360"/>
      </w:pPr>
    </w:lvl>
    <w:lvl w:ilvl="5" w:tplc="B7DE5FF6" w:tentative="1">
      <w:start w:val="1"/>
      <w:numFmt w:val="decimal"/>
      <w:lvlText w:val="%6."/>
      <w:lvlJc w:val="left"/>
      <w:pPr>
        <w:tabs>
          <w:tab w:val="num" w:pos="4320"/>
        </w:tabs>
        <w:ind w:left="4320" w:hanging="360"/>
      </w:pPr>
    </w:lvl>
    <w:lvl w:ilvl="6" w:tplc="CB180C38" w:tentative="1">
      <w:start w:val="1"/>
      <w:numFmt w:val="decimal"/>
      <w:lvlText w:val="%7."/>
      <w:lvlJc w:val="left"/>
      <w:pPr>
        <w:tabs>
          <w:tab w:val="num" w:pos="5040"/>
        </w:tabs>
        <w:ind w:left="5040" w:hanging="360"/>
      </w:pPr>
    </w:lvl>
    <w:lvl w:ilvl="7" w:tplc="2D4C0F88" w:tentative="1">
      <w:start w:val="1"/>
      <w:numFmt w:val="decimal"/>
      <w:lvlText w:val="%8."/>
      <w:lvlJc w:val="left"/>
      <w:pPr>
        <w:tabs>
          <w:tab w:val="num" w:pos="5760"/>
        </w:tabs>
        <w:ind w:left="5760" w:hanging="360"/>
      </w:pPr>
    </w:lvl>
    <w:lvl w:ilvl="8" w:tplc="4426D502" w:tentative="1">
      <w:start w:val="1"/>
      <w:numFmt w:val="decimal"/>
      <w:lvlText w:val="%9."/>
      <w:lvlJc w:val="left"/>
      <w:pPr>
        <w:tabs>
          <w:tab w:val="num" w:pos="6480"/>
        </w:tabs>
        <w:ind w:left="6480" w:hanging="360"/>
      </w:pPr>
    </w:lvl>
  </w:abstractNum>
  <w:abstractNum w:abstractNumId="9" w15:restartNumberingAfterBreak="0">
    <w:nsid w:val="6BA15BA6"/>
    <w:multiLevelType w:val="hybridMultilevel"/>
    <w:tmpl w:val="57B89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0D2457"/>
    <w:multiLevelType w:val="hybridMultilevel"/>
    <w:tmpl w:val="8B5AA5FA"/>
    <w:lvl w:ilvl="0" w:tplc="D7FC6D46">
      <w:start w:val="1"/>
      <w:numFmt w:val="bullet"/>
      <w:lvlText w:val="•"/>
      <w:lvlJc w:val="left"/>
      <w:pPr>
        <w:tabs>
          <w:tab w:val="num" w:pos="720"/>
        </w:tabs>
        <w:ind w:left="720" w:hanging="360"/>
      </w:pPr>
      <w:rPr>
        <w:rFonts w:ascii="Arial" w:hAnsi="Arial" w:hint="default"/>
      </w:rPr>
    </w:lvl>
    <w:lvl w:ilvl="1" w:tplc="AE1ACC72" w:tentative="1">
      <w:start w:val="1"/>
      <w:numFmt w:val="bullet"/>
      <w:lvlText w:val="•"/>
      <w:lvlJc w:val="left"/>
      <w:pPr>
        <w:tabs>
          <w:tab w:val="num" w:pos="1440"/>
        </w:tabs>
        <w:ind w:left="1440" w:hanging="360"/>
      </w:pPr>
      <w:rPr>
        <w:rFonts w:ascii="Arial" w:hAnsi="Arial" w:hint="default"/>
      </w:rPr>
    </w:lvl>
    <w:lvl w:ilvl="2" w:tplc="ABFEB714" w:tentative="1">
      <w:start w:val="1"/>
      <w:numFmt w:val="bullet"/>
      <w:lvlText w:val="•"/>
      <w:lvlJc w:val="left"/>
      <w:pPr>
        <w:tabs>
          <w:tab w:val="num" w:pos="2160"/>
        </w:tabs>
        <w:ind w:left="2160" w:hanging="360"/>
      </w:pPr>
      <w:rPr>
        <w:rFonts w:ascii="Arial" w:hAnsi="Arial" w:hint="default"/>
      </w:rPr>
    </w:lvl>
    <w:lvl w:ilvl="3" w:tplc="0A942C30" w:tentative="1">
      <w:start w:val="1"/>
      <w:numFmt w:val="bullet"/>
      <w:lvlText w:val="•"/>
      <w:lvlJc w:val="left"/>
      <w:pPr>
        <w:tabs>
          <w:tab w:val="num" w:pos="2880"/>
        </w:tabs>
        <w:ind w:left="2880" w:hanging="360"/>
      </w:pPr>
      <w:rPr>
        <w:rFonts w:ascii="Arial" w:hAnsi="Arial" w:hint="default"/>
      </w:rPr>
    </w:lvl>
    <w:lvl w:ilvl="4" w:tplc="719043FC" w:tentative="1">
      <w:start w:val="1"/>
      <w:numFmt w:val="bullet"/>
      <w:lvlText w:val="•"/>
      <w:lvlJc w:val="left"/>
      <w:pPr>
        <w:tabs>
          <w:tab w:val="num" w:pos="3600"/>
        </w:tabs>
        <w:ind w:left="3600" w:hanging="360"/>
      </w:pPr>
      <w:rPr>
        <w:rFonts w:ascii="Arial" w:hAnsi="Arial" w:hint="default"/>
      </w:rPr>
    </w:lvl>
    <w:lvl w:ilvl="5" w:tplc="B1384052" w:tentative="1">
      <w:start w:val="1"/>
      <w:numFmt w:val="bullet"/>
      <w:lvlText w:val="•"/>
      <w:lvlJc w:val="left"/>
      <w:pPr>
        <w:tabs>
          <w:tab w:val="num" w:pos="4320"/>
        </w:tabs>
        <w:ind w:left="4320" w:hanging="360"/>
      </w:pPr>
      <w:rPr>
        <w:rFonts w:ascii="Arial" w:hAnsi="Arial" w:hint="default"/>
      </w:rPr>
    </w:lvl>
    <w:lvl w:ilvl="6" w:tplc="ECCCE850" w:tentative="1">
      <w:start w:val="1"/>
      <w:numFmt w:val="bullet"/>
      <w:lvlText w:val="•"/>
      <w:lvlJc w:val="left"/>
      <w:pPr>
        <w:tabs>
          <w:tab w:val="num" w:pos="5040"/>
        </w:tabs>
        <w:ind w:left="5040" w:hanging="360"/>
      </w:pPr>
      <w:rPr>
        <w:rFonts w:ascii="Arial" w:hAnsi="Arial" w:hint="default"/>
      </w:rPr>
    </w:lvl>
    <w:lvl w:ilvl="7" w:tplc="CEC6FF4A" w:tentative="1">
      <w:start w:val="1"/>
      <w:numFmt w:val="bullet"/>
      <w:lvlText w:val="•"/>
      <w:lvlJc w:val="left"/>
      <w:pPr>
        <w:tabs>
          <w:tab w:val="num" w:pos="5760"/>
        </w:tabs>
        <w:ind w:left="5760" w:hanging="360"/>
      </w:pPr>
      <w:rPr>
        <w:rFonts w:ascii="Arial" w:hAnsi="Arial" w:hint="default"/>
      </w:rPr>
    </w:lvl>
    <w:lvl w:ilvl="8" w:tplc="8260FA9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76375E1"/>
    <w:multiLevelType w:val="hybridMultilevel"/>
    <w:tmpl w:val="2A44D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3F4ABC"/>
    <w:multiLevelType w:val="hybridMultilevel"/>
    <w:tmpl w:val="BEC41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4F72C5"/>
    <w:multiLevelType w:val="hybridMultilevel"/>
    <w:tmpl w:val="C45EEDFC"/>
    <w:lvl w:ilvl="0" w:tplc="A7503E9E">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7A6E30DC"/>
    <w:multiLevelType w:val="hybridMultilevel"/>
    <w:tmpl w:val="4CA4C8B6"/>
    <w:lvl w:ilvl="0" w:tplc="65B09778">
      <w:start w:val="1"/>
      <w:numFmt w:val="bullet"/>
      <w:lvlText w:val="•"/>
      <w:lvlJc w:val="left"/>
      <w:pPr>
        <w:tabs>
          <w:tab w:val="num" w:pos="720"/>
        </w:tabs>
        <w:ind w:left="720" w:hanging="360"/>
      </w:pPr>
      <w:rPr>
        <w:rFonts w:ascii="Arial" w:hAnsi="Arial" w:hint="default"/>
      </w:rPr>
    </w:lvl>
    <w:lvl w:ilvl="1" w:tplc="436020C4" w:tentative="1">
      <w:start w:val="1"/>
      <w:numFmt w:val="bullet"/>
      <w:lvlText w:val="•"/>
      <w:lvlJc w:val="left"/>
      <w:pPr>
        <w:tabs>
          <w:tab w:val="num" w:pos="1440"/>
        </w:tabs>
        <w:ind w:left="1440" w:hanging="360"/>
      </w:pPr>
      <w:rPr>
        <w:rFonts w:ascii="Arial" w:hAnsi="Arial" w:hint="default"/>
      </w:rPr>
    </w:lvl>
    <w:lvl w:ilvl="2" w:tplc="70B07118" w:tentative="1">
      <w:start w:val="1"/>
      <w:numFmt w:val="bullet"/>
      <w:lvlText w:val="•"/>
      <w:lvlJc w:val="left"/>
      <w:pPr>
        <w:tabs>
          <w:tab w:val="num" w:pos="2160"/>
        </w:tabs>
        <w:ind w:left="2160" w:hanging="360"/>
      </w:pPr>
      <w:rPr>
        <w:rFonts w:ascii="Arial" w:hAnsi="Arial" w:hint="default"/>
      </w:rPr>
    </w:lvl>
    <w:lvl w:ilvl="3" w:tplc="0A26AF24" w:tentative="1">
      <w:start w:val="1"/>
      <w:numFmt w:val="bullet"/>
      <w:lvlText w:val="•"/>
      <w:lvlJc w:val="left"/>
      <w:pPr>
        <w:tabs>
          <w:tab w:val="num" w:pos="2880"/>
        </w:tabs>
        <w:ind w:left="2880" w:hanging="360"/>
      </w:pPr>
      <w:rPr>
        <w:rFonts w:ascii="Arial" w:hAnsi="Arial" w:hint="default"/>
      </w:rPr>
    </w:lvl>
    <w:lvl w:ilvl="4" w:tplc="AAAE7260" w:tentative="1">
      <w:start w:val="1"/>
      <w:numFmt w:val="bullet"/>
      <w:lvlText w:val="•"/>
      <w:lvlJc w:val="left"/>
      <w:pPr>
        <w:tabs>
          <w:tab w:val="num" w:pos="3600"/>
        </w:tabs>
        <w:ind w:left="3600" w:hanging="360"/>
      </w:pPr>
      <w:rPr>
        <w:rFonts w:ascii="Arial" w:hAnsi="Arial" w:hint="default"/>
      </w:rPr>
    </w:lvl>
    <w:lvl w:ilvl="5" w:tplc="2FB47478" w:tentative="1">
      <w:start w:val="1"/>
      <w:numFmt w:val="bullet"/>
      <w:lvlText w:val="•"/>
      <w:lvlJc w:val="left"/>
      <w:pPr>
        <w:tabs>
          <w:tab w:val="num" w:pos="4320"/>
        </w:tabs>
        <w:ind w:left="4320" w:hanging="360"/>
      </w:pPr>
      <w:rPr>
        <w:rFonts w:ascii="Arial" w:hAnsi="Arial" w:hint="default"/>
      </w:rPr>
    </w:lvl>
    <w:lvl w:ilvl="6" w:tplc="88BC359E" w:tentative="1">
      <w:start w:val="1"/>
      <w:numFmt w:val="bullet"/>
      <w:lvlText w:val="•"/>
      <w:lvlJc w:val="left"/>
      <w:pPr>
        <w:tabs>
          <w:tab w:val="num" w:pos="5040"/>
        </w:tabs>
        <w:ind w:left="5040" w:hanging="360"/>
      </w:pPr>
      <w:rPr>
        <w:rFonts w:ascii="Arial" w:hAnsi="Arial" w:hint="default"/>
      </w:rPr>
    </w:lvl>
    <w:lvl w:ilvl="7" w:tplc="4CA84DBE" w:tentative="1">
      <w:start w:val="1"/>
      <w:numFmt w:val="bullet"/>
      <w:lvlText w:val="•"/>
      <w:lvlJc w:val="left"/>
      <w:pPr>
        <w:tabs>
          <w:tab w:val="num" w:pos="5760"/>
        </w:tabs>
        <w:ind w:left="5760" w:hanging="360"/>
      </w:pPr>
      <w:rPr>
        <w:rFonts w:ascii="Arial" w:hAnsi="Arial" w:hint="default"/>
      </w:rPr>
    </w:lvl>
    <w:lvl w:ilvl="8" w:tplc="0660D2B0" w:tentative="1">
      <w:start w:val="1"/>
      <w:numFmt w:val="bullet"/>
      <w:lvlText w:val="•"/>
      <w:lvlJc w:val="left"/>
      <w:pPr>
        <w:tabs>
          <w:tab w:val="num" w:pos="6480"/>
        </w:tabs>
        <w:ind w:left="6480" w:hanging="360"/>
      </w:pPr>
      <w:rPr>
        <w:rFonts w:ascii="Arial" w:hAnsi="Arial" w:hint="default"/>
      </w:rPr>
    </w:lvl>
  </w:abstractNum>
  <w:num w:numId="1" w16cid:durableId="857741309">
    <w:abstractNumId w:val="13"/>
  </w:num>
  <w:num w:numId="2" w16cid:durableId="1826893632">
    <w:abstractNumId w:val="4"/>
  </w:num>
  <w:num w:numId="3" w16cid:durableId="2076660810">
    <w:abstractNumId w:val="3"/>
  </w:num>
  <w:num w:numId="4" w16cid:durableId="1036392797">
    <w:abstractNumId w:val="7"/>
  </w:num>
  <w:num w:numId="5" w16cid:durableId="224805841">
    <w:abstractNumId w:val="2"/>
  </w:num>
  <w:num w:numId="6" w16cid:durableId="724261191">
    <w:abstractNumId w:val="6"/>
  </w:num>
  <w:num w:numId="7" w16cid:durableId="1113551853">
    <w:abstractNumId w:val="1"/>
  </w:num>
  <w:num w:numId="8" w16cid:durableId="336272905">
    <w:abstractNumId w:val="8"/>
  </w:num>
  <w:num w:numId="9" w16cid:durableId="1518740171">
    <w:abstractNumId w:val="9"/>
  </w:num>
  <w:num w:numId="10" w16cid:durableId="1797412342">
    <w:abstractNumId w:val="11"/>
  </w:num>
  <w:num w:numId="11" w16cid:durableId="92480070">
    <w:abstractNumId w:val="0"/>
  </w:num>
  <w:num w:numId="12" w16cid:durableId="1693066702">
    <w:abstractNumId w:val="12"/>
  </w:num>
  <w:num w:numId="13" w16cid:durableId="569732478">
    <w:abstractNumId w:val="5"/>
  </w:num>
  <w:num w:numId="14" w16cid:durableId="8025485">
    <w:abstractNumId w:val="10"/>
  </w:num>
  <w:num w:numId="15" w16cid:durableId="8206568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B5C"/>
    <w:rsid w:val="000000A5"/>
    <w:rsid w:val="00000AB6"/>
    <w:rsid w:val="00000B27"/>
    <w:rsid w:val="00001908"/>
    <w:rsid w:val="00001BA6"/>
    <w:rsid w:val="00002067"/>
    <w:rsid w:val="00002213"/>
    <w:rsid w:val="00002EEB"/>
    <w:rsid w:val="00003635"/>
    <w:rsid w:val="00003CE0"/>
    <w:rsid w:val="00003D0F"/>
    <w:rsid w:val="0000414F"/>
    <w:rsid w:val="00004174"/>
    <w:rsid w:val="00004C82"/>
    <w:rsid w:val="00004DB4"/>
    <w:rsid w:val="00004E3B"/>
    <w:rsid w:val="00004E81"/>
    <w:rsid w:val="0000500B"/>
    <w:rsid w:val="00005152"/>
    <w:rsid w:val="000053D9"/>
    <w:rsid w:val="00005582"/>
    <w:rsid w:val="00005697"/>
    <w:rsid w:val="000058C9"/>
    <w:rsid w:val="00006BBE"/>
    <w:rsid w:val="00006C58"/>
    <w:rsid w:val="00006E2D"/>
    <w:rsid w:val="000077D5"/>
    <w:rsid w:val="00007904"/>
    <w:rsid w:val="0000797F"/>
    <w:rsid w:val="00007DD4"/>
    <w:rsid w:val="00010A97"/>
    <w:rsid w:val="00010B97"/>
    <w:rsid w:val="0001121E"/>
    <w:rsid w:val="0001127D"/>
    <w:rsid w:val="000118E6"/>
    <w:rsid w:val="0001195C"/>
    <w:rsid w:val="00011AD9"/>
    <w:rsid w:val="00011D32"/>
    <w:rsid w:val="000123F0"/>
    <w:rsid w:val="0001252B"/>
    <w:rsid w:val="00012808"/>
    <w:rsid w:val="0001337D"/>
    <w:rsid w:val="0001364F"/>
    <w:rsid w:val="00013F38"/>
    <w:rsid w:val="00014095"/>
    <w:rsid w:val="000145F0"/>
    <w:rsid w:val="00014C54"/>
    <w:rsid w:val="00014E31"/>
    <w:rsid w:val="00014EC7"/>
    <w:rsid w:val="00015241"/>
    <w:rsid w:val="00015279"/>
    <w:rsid w:val="00015351"/>
    <w:rsid w:val="00015D98"/>
    <w:rsid w:val="00016066"/>
    <w:rsid w:val="00016616"/>
    <w:rsid w:val="00016C01"/>
    <w:rsid w:val="00016E3C"/>
    <w:rsid w:val="00017358"/>
    <w:rsid w:val="00017494"/>
    <w:rsid w:val="00020258"/>
    <w:rsid w:val="00020722"/>
    <w:rsid w:val="000207F9"/>
    <w:rsid w:val="00020A56"/>
    <w:rsid w:val="00021452"/>
    <w:rsid w:val="0002173E"/>
    <w:rsid w:val="00021840"/>
    <w:rsid w:val="00021D78"/>
    <w:rsid w:val="00021F29"/>
    <w:rsid w:val="00022104"/>
    <w:rsid w:val="0002227D"/>
    <w:rsid w:val="000222DE"/>
    <w:rsid w:val="000229B9"/>
    <w:rsid w:val="00022BF9"/>
    <w:rsid w:val="0002327C"/>
    <w:rsid w:val="00023BBF"/>
    <w:rsid w:val="000240D4"/>
    <w:rsid w:val="00024297"/>
    <w:rsid w:val="00024B94"/>
    <w:rsid w:val="00024EFE"/>
    <w:rsid w:val="00024F62"/>
    <w:rsid w:val="00024FA4"/>
    <w:rsid w:val="00024FEF"/>
    <w:rsid w:val="00025C5F"/>
    <w:rsid w:val="00025F2E"/>
    <w:rsid w:val="00025F85"/>
    <w:rsid w:val="000260D2"/>
    <w:rsid w:val="0002697E"/>
    <w:rsid w:val="000270A4"/>
    <w:rsid w:val="0002719C"/>
    <w:rsid w:val="00027245"/>
    <w:rsid w:val="00027350"/>
    <w:rsid w:val="0002768F"/>
    <w:rsid w:val="000276AF"/>
    <w:rsid w:val="00027A9C"/>
    <w:rsid w:val="00030A03"/>
    <w:rsid w:val="00030D18"/>
    <w:rsid w:val="00031E71"/>
    <w:rsid w:val="00032548"/>
    <w:rsid w:val="00032B5B"/>
    <w:rsid w:val="00033913"/>
    <w:rsid w:val="00034062"/>
    <w:rsid w:val="000340FA"/>
    <w:rsid w:val="00034DAE"/>
    <w:rsid w:val="00034E0A"/>
    <w:rsid w:val="00034E16"/>
    <w:rsid w:val="00034E86"/>
    <w:rsid w:val="00034EDB"/>
    <w:rsid w:val="0003519D"/>
    <w:rsid w:val="0003548A"/>
    <w:rsid w:val="000354D1"/>
    <w:rsid w:val="0003593D"/>
    <w:rsid w:val="00035D1B"/>
    <w:rsid w:val="00036154"/>
    <w:rsid w:val="000368B0"/>
    <w:rsid w:val="000373BD"/>
    <w:rsid w:val="000377DF"/>
    <w:rsid w:val="00037A02"/>
    <w:rsid w:val="00037AD0"/>
    <w:rsid w:val="00037F8D"/>
    <w:rsid w:val="000400D5"/>
    <w:rsid w:val="00040C05"/>
    <w:rsid w:val="00040DC0"/>
    <w:rsid w:val="00041360"/>
    <w:rsid w:val="00041B97"/>
    <w:rsid w:val="00041C3C"/>
    <w:rsid w:val="00042026"/>
    <w:rsid w:val="00042713"/>
    <w:rsid w:val="0004314B"/>
    <w:rsid w:val="0004315D"/>
    <w:rsid w:val="00043331"/>
    <w:rsid w:val="0004383B"/>
    <w:rsid w:val="0004396A"/>
    <w:rsid w:val="00043A0C"/>
    <w:rsid w:val="00043B6E"/>
    <w:rsid w:val="000440B8"/>
    <w:rsid w:val="000440EB"/>
    <w:rsid w:val="0004426A"/>
    <w:rsid w:val="00044277"/>
    <w:rsid w:val="00044592"/>
    <w:rsid w:val="00044D32"/>
    <w:rsid w:val="00044E6B"/>
    <w:rsid w:val="00045008"/>
    <w:rsid w:val="000456BF"/>
    <w:rsid w:val="00045960"/>
    <w:rsid w:val="00045F8B"/>
    <w:rsid w:val="0004630C"/>
    <w:rsid w:val="000463F9"/>
    <w:rsid w:val="000472A7"/>
    <w:rsid w:val="000472BD"/>
    <w:rsid w:val="000500CA"/>
    <w:rsid w:val="00050143"/>
    <w:rsid w:val="00050277"/>
    <w:rsid w:val="000502EB"/>
    <w:rsid w:val="00050F76"/>
    <w:rsid w:val="00051021"/>
    <w:rsid w:val="000510B6"/>
    <w:rsid w:val="000511C9"/>
    <w:rsid w:val="0005188F"/>
    <w:rsid w:val="000518A2"/>
    <w:rsid w:val="00051973"/>
    <w:rsid w:val="00051F13"/>
    <w:rsid w:val="000520E6"/>
    <w:rsid w:val="0005243A"/>
    <w:rsid w:val="000532E5"/>
    <w:rsid w:val="000537DA"/>
    <w:rsid w:val="0005392F"/>
    <w:rsid w:val="00053C74"/>
    <w:rsid w:val="00053ED2"/>
    <w:rsid w:val="00054FA7"/>
    <w:rsid w:val="0005504B"/>
    <w:rsid w:val="00055298"/>
    <w:rsid w:val="000557AC"/>
    <w:rsid w:val="00055C36"/>
    <w:rsid w:val="00055DC5"/>
    <w:rsid w:val="0005669B"/>
    <w:rsid w:val="00056877"/>
    <w:rsid w:val="000569A0"/>
    <w:rsid w:val="00056B7C"/>
    <w:rsid w:val="00056E82"/>
    <w:rsid w:val="00057221"/>
    <w:rsid w:val="00057912"/>
    <w:rsid w:val="00057A09"/>
    <w:rsid w:val="00057AB7"/>
    <w:rsid w:val="00057AC5"/>
    <w:rsid w:val="00057ADA"/>
    <w:rsid w:val="0006020B"/>
    <w:rsid w:val="0006023B"/>
    <w:rsid w:val="00060A55"/>
    <w:rsid w:val="00060FDD"/>
    <w:rsid w:val="0006102F"/>
    <w:rsid w:val="00061391"/>
    <w:rsid w:val="00061718"/>
    <w:rsid w:val="000619FE"/>
    <w:rsid w:val="00061BDC"/>
    <w:rsid w:val="00061ECA"/>
    <w:rsid w:val="00061FD9"/>
    <w:rsid w:val="00062124"/>
    <w:rsid w:val="00062177"/>
    <w:rsid w:val="00062262"/>
    <w:rsid w:val="000625DF"/>
    <w:rsid w:val="0006287A"/>
    <w:rsid w:val="00062C48"/>
    <w:rsid w:val="00062DB5"/>
    <w:rsid w:val="000632DD"/>
    <w:rsid w:val="00063586"/>
    <w:rsid w:val="0006390D"/>
    <w:rsid w:val="000639F3"/>
    <w:rsid w:val="00063BFF"/>
    <w:rsid w:val="00063E9D"/>
    <w:rsid w:val="00064B0C"/>
    <w:rsid w:val="000651CC"/>
    <w:rsid w:val="00065D80"/>
    <w:rsid w:val="0006680F"/>
    <w:rsid w:val="00066CFA"/>
    <w:rsid w:val="00067BD5"/>
    <w:rsid w:val="0007022A"/>
    <w:rsid w:val="000702DB"/>
    <w:rsid w:val="000705D2"/>
    <w:rsid w:val="00070B04"/>
    <w:rsid w:val="00070D28"/>
    <w:rsid w:val="00070D6C"/>
    <w:rsid w:val="00071134"/>
    <w:rsid w:val="0007192B"/>
    <w:rsid w:val="00072204"/>
    <w:rsid w:val="00072598"/>
    <w:rsid w:val="00072674"/>
    <w:rsid w:val="000730FB"/>
    <w:rsid w:val="00073554"/>
    <w:rsid w:val="0007388B"/>
    <w:rsid w:val="00073913"/>
    <w:rsid w:val="00073AA7"/>
    <w:rsid w:val="00073EB5"/>
    <w:rsid w:val="0007487A"/>
    <w:rsid w:val="00075004"/>
    <w:rsid w:val="00075A22"/>
    <w:rsid w:val="00076094"/>
    <w:rsid w:val="000766D7"/>
    <w:rsid w:val="00076778"/>
    <w:rsid w:val="000767B5"/>
    <w:rsid w:val="00076928"/>
    <w:rsid w:val="00076AC5"/>
    <w:rsid w:val="00076C09"/>
    <w:rsid w:val="0007705F"/>
    <w:rsid w:val="00077201"/>
    <w:rsid w:val="00077583"/>
    <w:rsid w:val="0007765A"/>
    <w:rsid w:val="00077A00"/>
    <w:rsid w:val="00077C00"/>
    <w:rsid w:val="00077C9C"/>
    <w:rsid w:val="00077DA6"/>
    <w:rsid w:val="000811CD"/>
    <w:rsid w:val="000813F8"/>
    <w:rsid w:val="00081933"/>
    <w:rsid w:val="00081C26"/>
    <w:rsid w:val="000824B8"/>
    <w:rsid w:val="000825D9"/>
    <w:rsid w:val="00082A86"/>
    <w:rsid w:val="00083619"/>
    <w:rsid w:val="0008396C"/>
    <w:rsid w:val="0008456D"/>
    <w:rsid w:val="0008526D"/>
    <w:rsid w:val="000854C5"/>
    <w:rsid w:val="00085754"/>
    <w:rsid w:val="00085BBC"/>
    <w:rsid w:val="00085C04"/>
    <w:rsid w:val="00085DBB"/>
    <w:rsid w:val="00086921"/>
    <w:rsid w:val="00086B29"/>
    <w:rsid w:val="00086CD6"/>
    <w:rsid w:val="00087300"/>
    <w:rsid w:val="00087C60"/>
    <w:rsid w:val="00087F0D"/>
    <w:rsid w:val="000904C0"/>
    <w:rsid w:val="00090532"/>
    <w:rsid w:val="00090838"/>
    <w:rsid w:val="00090D0B"/>
    <w:rsid w:val="00091437"/>
    <w:rsid w:val="0009153E"/>
    <w:rsid w:val="00091C94"/>
    <w:rsid w:val="00091EBA"/>
    <w:rsid w:val="00091EF1"/>
    <w:rsid w:val="000921D9"/>
    <w:rsid w:val="00092FEE"/>
    <w:rsid w:val="0009321B"/>
    <w:rsid w:val="00093899"/>
    <w:rsid w:val="0009390C"/>
    <w:rsid w:val="00093F94"/>
    <w:rsid w:val="0009418E"/>
    <w:rsid w:val="00094693"/>
    <w:rsid w:val="000946B0"/>
    <w:rsid w:val="00094E5B"/>
    <w:rsid w:val="00094FDB"/>
    <w:rsid w:val="00094FF3"/>
    <w:rsid w:val="000956F6"/>
    <w:rsid w:val="0009588B"/>
    <w:rsid w:val="000961E3"/>
    <w:rsid w:val="00096303"/>
    <w:rsid w:val="0009670B"/>
    <w:rsid w:val="000967BD"/>
    <w:rsid w:val="00096BAA"/>
    <w:rsid w:val="00096F36"/>
    <w:rsid w:val="00096F7B"/>
    <w:rsid w:val="0009729E"/>
    <w:rsid w:val="00097476"/>
    <w:rsid w:val="000A08CB"/>
    <w:rsid w:val="000A0C4B"/>
    <w:rsid w:val="000A131F"/>
    <w:rsid w:val="000A15D3"/>
    <w:rsid w:val="000A160A"/>
    <w:rsid w:val="000A1A89"/>
    <w:rsid w:val="000A1BF0"/>
    <w:rsid w:val="000A1FA8"/>
    <w:rsid w:val="000A2102"/>
    <w:rsid w:val="000A21AD"/>
    <w:rsid w:val="000A3193"/>
    <w:rsid w:val="000A331F"/>
    <w:rsid w:val="000A34E5"/>
    <w:rsid w:val="000A3D0C"/>
    <w:rsid w:val="000A3FD7"/>
    <w:rsid w:val="000A42CB"/>
    <w:rsid w:val="000A4C60"/>
    <w:rsid w:val="000A56A7"/>
    <w:rsid w:val="000A573C"/>
    <w:rsid w:val="000A5B2E"/>
    <w:rsid w:val="000A5D33"/>
    <w:rsid w:val="000A5FAD"/>
    <w:rsid w:val="000A634F"/>
    <w:rsid w:val="000A64C5"/>
    <w:rsid w:val="000A67BA"/>
    <w:rsid w:val="000A6810"/>
    <w:rsid w:val="000A754A"/>
    <w:rsid w:val="000A7A85"/>
    <w:rsid w:val="000A7BC5"/>
    <w:rsid w:val="000A7D87"/>
    <w:rsid w:val="000A7DED"/>
    <w:rsid w:val="000B0037"/>
    <w:rsid w:val="000B0264"/>
    <w:rsid w:val="000B035B"/>
    <w:rsid w:val="000B05ED"/>
    <w:rsid w:val="000B0779"/>
    <w:rsid w:val="000B0BDF"/>
    <w:rsid w:val="000B0FFA"/>
    <w:rsid w:val="000B1438"/>
    <w:rsid w:val="000B1B65"/>
    <w:rsid w:val="000B1C9A"/>
    <w:rsid w:val="000B20C7"/>
    <w:rsid w:val="000B22C6"/>
    <w:rsid w:val="000B2886"/>
    <w:rsid w:val="000B2B47"/>
    <w:rsid w:val="000B2B92"/>
    <w:rsid w:val="000B2FFC"/>
    <w:rsid w:val="000B34A7"/>
    <w:rsid w:val="000B3B02"/>
    <w:rsid w:val="000B3F2A"/>
    <w:rsid w:val="000B4549"/>
    <w:rsid w:val="000B49A5"/>
    <w:rsid w:val="000B4ED6"/>
    <w:rsid w:val="000B4FD2"/>
    <w:rsid w:val="000B51D1"/>
    <w:rsid w:val="000B528D"/>
    <w:rsid w:val="000B5552"/>
    <w:rsid w:val="000B5CF5"/>
    <w:rsid w:val="000B6448"/>
    <w:rsid w:val="000B75A5"/>
    <w:rsid w:val="000B77AC"/>
    <w:rsid w:val="000B78F9"/>
    <w:rsid w:val="000B7F77"/>
    <w:rsid w:val="000C030E"/>
    <w:rsid w:val="000C0BAC"/>
    <w:rsid w:val="000C0DC9"/>
    <w:rsid w:val="000C2DA1"/>
    <w:rsid w:val="000C2E62"/>
    <w:rsid w:val="000C3054"/>
    <w:rsid w:val="000C402F"/>
    <w:rsid w:val="000C4033"/>
    <w:rsid w:val="000C43B0"/>
    <w:rsid w:val="000C4818"/>
    <w:rsid w:val="000C4887"/>
    <w:rsid w:val="000C4BC7"/>
    <w:rsid w:val="000C4FF5"/>
    <w:rsid w:val="000C5B64"/>
    <w:rsid w:val="000C5CCA"/>
    <w:rsid w:val="000C5E78"/>
    <w:rsid w:val="000C6085"/>
    <w:rsid w:val="000C640F"/>
    <w:rsid w:val="000C68C6"/>
    <w:rsid w:val="000C6B40"/>
    <w:rsid w:val="000C6D3E"/>
    <w:rsid w:val="000C6F65"/>
    <w:rsid w:val="000C7246"/>
    <w:rsid w:val="000C73DF"/>
    <w:rsid w:val="000C7BAA"/>
    <w:rsid w:val="000D0280"/>
    <w:rsid w:val="000D0393"/>
    <w:rsid w:val="000D0685"/>
    <w:rsid w:val="000D0927"/>
    <w:rsid w:val="000D0CE4"/>
    <w:rsid w:val="000D1E52"/>
    <w:rsid w:val="000D2166"/>
    <w:rsid w:val="000D22A3"/>
    <w:rsid w:val="000D2E0E"/>
    <w:rsid w:val="000D3232"/>
    <w:rsid w:val="000D3808"/>
    <w:rsid w:val="000D45BB"/>
    <w:rsid w:val="000D49BC"/>
    <w:rsid w:val="000D4AE5"/>
    <w:rsid w:val="000D51DE"/>
    <w:rsid w:val="000D56A9"/>
    <w:rsid w:val="000D5A2B"/>
    <w:rsid w:val="000D5B1F"/>
    <w:rsid w:val="000D5F6C"/>
    <w:rsid w:val="000D6078"/>
    <w:rsid w:val="000D6708"/>
    <w:rsid w:val="000D6B09"/>
    <w:rsid w:val="000D6D49"/>
    <w:rsid w:val="000D6E6E"/>
    <w:rsid w:val="000D6ED6"/>
    <w:rsid w:val="000D6F2E"/>
    <w:rsid w:val="000D7E9B"/>
    <w:rsid w:val="000E080A"/>
    <w:rsid w:val="000E136F"/>
    <w:rsid w:val="000E1730"/>
    <w:rsid w:val="000E18BB"/>
    <w:rsid w:val="000E2226"/>
    <w:rsid w:val="000E25A7"/>
    <w:rsid w:val="000E28FA"/>
    <w:rsid w:val="000E29AA"/>
    <w:rsid w:val="000E2D28"/>
    <w:rsid w:val="000E3234"/>
    <w:rsid w:val="000E329D"/>
    <w:rsid w:val="000E32E7"/>
    <w:rsid w:val="000E3432"/>
    <w:rsid w:val="000E3539"/>
    <w:rsid w:val="000E3A41"/>
    <w:rsid w:val="000E3B7C"/>
    <w:rsid w:val="000E43FE"/>
    <w:rsid w:val="000E459F"/>
    <w:rsid w:val="000E488C"/>
    <w:rsid w:val="000E4A37"/>
    <w:rsid w:val="000E4A66"/>
    <w:rsid w:val="000E5115"/>
    <w:rsid w:val="000E54FF"/>
    <w:rsid w:val="000E5795"/>
    <w:rsid w:val="000E6212"/>
    <w:rsid w:val="000E7720"/>
    <w:rsid w:val="000F004F"/>
    <w:rsid w:val="000F0A33"/>
    <w:rsid w:val="000F0BC2"/>
    <w:rsid w:val="000F0CB1"/>
    <w:rsid w:val="000F0FE7"/>
    <w:rsid w:val="000F106E"/>
    <w:rsid w:val="000F13AE"/>
    <w:rsid w:val="000F157D"/>
    <w:rsid w:val="000F1744"/>
    <w:rsid w:val="000F1A78"/>
    <w:rsid w:val="000F1C2F"/>
    <w:rsid w:val="000F1D56"/>
    <w:rsid w:val="000F1E2B"/>
    <w:rsid w:val="000F2222"/>
    <w:rsid w:val="000F253C"/>
    <w:rsid w:val="000F2678"/>
    <w:rsid w:val="000F2A03"/>
    <w:rsid w:val="000F2F01"/>
    <w:rsid w:val="000F343D"/>
    <w:rsid w:val="000F3450"/>
    <w:rsid w:val="000F42C0"/>
    <w:rsid w:val="000F4396"/>
    <w:rsid w:val="000F4CDE"/>
    <w:rsid w:val="000F4FB8"/>
    <w:rsid w:val="000F5052"/>
    <w:rsid w:val="000F50EC"/>
    <w:rsid w:val="000F6311"/>
    <w:rsid w:val="000F6598"/>
    <w:rsid w:val="000F729D"/>
    <w:rsid w:val="000F74B6"/>
    <w:rsid w:val="000F7705"/>
    <w:rsid w:val="00100229"/>
    <w:rsid w:val="0010097C"/>
    <w:rsid w:val="00100C16"/>
    <w:rsid w:val="00100E86"/>
    <w:rsid w:val="0010105A"/>
    <w:rsid w:val="00101275"/>
    <w:rsid w:val="00101813"/>
    <w:rsid w:val="00101958"/>
    <w:rsid w:val="00101AB1"/>
    <w:rsid w:val="00101EED"/>
    <w:rsid w:val="001020CC"/>
    <w:rsid w:val="00102938"/>
    <w:rsid w:val="00102ACF"/>
    <w:rsid w:val="00102CCD"/>
    <w:rsid w:val="00102F2D"/>
    <w:rsid w:val="00103330"/>
    <w:rsid w:val="001036FB"/>
    <w:rsid w:val="00103737"/>
    <w:rsid w:val="00103A96"/>
    <w:rsid w:val="00104109"/>
    <w:rsid w:val="00104843"/>
    <w:rsid w:val="0010536A"/>
    <w:rsid w:val="001054F2"/>
    <w:rsid w:val="001055AD"/>
    <w:rsid w:val="00105F50"/>
    <w:rsid w:val="00106573"/>
    <w:rsid w:val="00106BC5"/>
    <w:rsid w:val="00106C70"/>
    <w:rsid w:val="001076F6"/>
    <w:rsid w:val="00107812"/>
    <w:rsid w:val="00107844"/>
    <w:rsid w:val="00107970"/>
    <w:rsid w:val="00107A80"/>
    <w:rsid w:val="00107AC4"/>
    <w:rsid w:val="00107CFE"/>
    <w:rsid w:val="001102DF"/>
    <w:rsid w:val="0011034A"/>
    <w:rsid w:val="001109BE"/>
    <w:rsid w:val="00110DC4"/>
    <w:rsid w:val="0011120D"/>
    <w:rsid w:val="001113EE"/>
    <w:rsid w:val="001130EB"/>
    <w:rsid w:val="0011325D"/>
    <w:rsid w:val="001132D0"/>
    <w:rsid w:val="00113419"/>
    <w:rsid w:val="0011356B"/>
    <w:rsid w:val="00113648"/>
    <w:rsid w:val="0011404F"/>
    <w:rsid w:val="001140B2"/>
    <w:rsid w:val="001146E8"/>
    <w:rsid w:val="001147AF"/>
    <w:rsid w:val="001153FD"/>
    <w:rsid w:val="0011566C"/>
    <w:rsid w:val="00115D26"/>
    <w:rsid w:val="00115E52"/>
    <w:rsid w:val="0011645A"/>
    <w:rsid w:val="00116A8E"/>
    <w:rsid w:val="00116C46"/>
    <w:rsid w:val="00117C0D"/>
    <w:rsid w:val="00117F76"/>
    <w:rsid w:val="00120156"/>
    <w:rsid w:val="00120CF6"/>
    <w:rsid w:val="001212C4"/>
    <w:rsid w:val="0012148C"/>
    <w:rsid w:val="001214BE"/>
    <w:rsid w:val="00121753"/>
    <w:rsid w:val="001223B5"/>
    <w:rsid w:val="00122540"/>
    <w:rsid w:val="00122AA9"/>
    <w:rsid w:val="0012303D"/>
    <w:rsid w:val="00123482"/>
    <w:rsid w:val="00123D02"/>
    <w:rsid w:val="001240B8"/>
    <w:rsid w:val="00124618"/>
    <w:rsid w:val="00124855"/>
    <w:rsid w:val="0012499F"/>
    <w:rsid w:val="00125146"/>
    <w:rsid w:val="0012526B"/>
    <w:rsid w:val="0012553A"/>
    <w:rsid w:val="00126F10"/>
    <w:rsid w:val="00127751"/>
    <w:rsid w:val="00127A33"/>
    <w:rsid w:val="001301FE"/>
    <w:rsid w:val="00130404"/>
    <w:rsid w:val="001308BA"/>
    <w:rsid w:val="001309C8"/>
    <w:rsid w:val="00130CDB"/>
    <w:rsid w:val="00132735"/>
    <w:rsid w:val="0013356A"/>
    <w:rsid w:val="00133785"/>
    <w:rsid w:val="00133802"/>
    <w:rsid w:val="001338BB"/>
    <w:rsid w:val="0013399A"/>
    <w:rsid w:val="00134176"/>
    <w:rsid w:val="001346BE"/>
    <w:rsid w:val="0013484F"/>
    <w:rsid w:val="00135226"/>
    <w:rsid w:val="001359E4"/>
    <w:rsid w:val="00136249"/>
    <w:rsid w:val="00136403"/>
    <w:rsid w:val="00136BF4"/>
    <w:rsid w:val="00136F14"/>
    <w:rsid w:val="00137089"/>
    <w:rsid w:val="001370EE"/>
    <w:rsid w:val="001372A7"/>
    <w:rsid w:val="001376CB"/>
    <w:rsid w:val="00137BA4"/>
    <w:rsid w:val="0014088E"/>
    <w:rsid w:val="00140E2E"/>
    <w:rsid w:val="00140ED5"/>
    <w:rsid w:val="00140F4C"/>
    <w:rsid w:val="00140F7E"/>
    <w:rsid w:val="00141107"/>
    <w:rsid w:val="00141F72"/>
    <w:rsid w:val="001427C4"/>
    <w:rsid w:val="00142A63"/>
    <w:rsid w:val="00143239"/>
    <w:rsid w:val="00143517"/>
    <w:rsid w:val="001436AC"/>
    <w:rsid w:val="00143977"/>
    <w:rsid w:val="00143C5D"/>
    <w:rsid w:val="00144179"/>
    <w:rsid w:val="00144662"/>
    <w:rsid w:val="00144717"/>
    <w:rsid w:val="00144A96"/>
    <w:rsid w:val="00144B98"/>
    <w:rsid w:val="00144C61"/>
    <w:rsid w:val="0014553D"/>
    <w:rsid w:val="00145542"/>
    <w:rsid w:val="001455BF"/>
    <w:rsid w:val="0014586E"/>
    <w:rsid w:val="001467F9"/>
    <w:rsid w:val="00146C0B"/>
    <w:rsid w:val="00146C6A"/>
    <w:rsid w:val="00146EDB"/>
    <w:rsid w:val="001477A4"/>
    <w:rsid w:val="001478F3"/>
    <w:rsid w:val="00147A9D"/>
    <w:rsid w:val="00147D00"/>
    <w:rsid w:val="00147D75"/>
    <w:rsid w:val="001503F9"/>
    <w:rsid w:val="00150522"/>
    <w:rsid w:val="00150EC0"/>
    <w:rsid w:val="00151332"/>
    <w:rsid w:val="00151583"/>
    <w:rsid w:val="00151616"/>
    <w:rsid w:val="00151A21"/>
    <w:rsid w:val="00151C44"/>
    <w:rsid w:val="00151FD2"/>
    <w:rsid w:val="0015201F"/>
    <w:rsid w:val="00152303"/>
    <w:rsid w:val="00152A89"/>
    <w:rsid w:val="00152DCA"/>
    <w:rsid w:val="00153F40"/>
    <w:rsid w:val="00153FCD"/>
    <w:rsid w:val="0015423E"/>
    <w:rsid w:val="001544E1"/>
    <w:rsid w:val="00154652"/>
    <w:rsid w:val="001546CD"/>
    <w:rsid w:val="001547DE"/>
    <w:rsid w:val="00155529"/>
    <w:rsid w:val="00155716"/>
    <w:rsid w:val="00156893"/>
    <w:rsid w:val="001569CA"/>
    <w:rsid w:val="00156A0E"/>
    <w:rsid w:val="00156D04"/>
    <w:rsid w:val="001571DC"/>
    <w:rsid w:val="001573F0"/>
    <w:rsid w:val="001577CC"/>
    <w:rsid w:val="00157A63"/>
    <w:rsid w:val="001604F4"/>
    <w:rsid w:val="00160C58"/>
    <w:rsid w:val="00160C93"/>
    <w:rsid w:val="00160F57"/>
    <w:rsid w:val="00161475"/>
    <w:rsid w:val="0016186C"/>
    <w:rsid w:val="00161CD3"/>
    <w:rsid w:val="00161DCE"/>
    <w:rsid w:val="00161F2D"/>
    <w:rsid w:val="00162043"/>
    <w:rsid w:val="0016228A"/>
    <w:rsid w:val="001625D5"/>
    <w:rsid w:val="001629D3"/>
    <w:rsid w:val="00162A3F"/>
    <w:rsid w:val="00162AA9"/>
    <w:rsid w:val="00162AD6"/>
    <w:rsid w:val="00162B9F"/>
    <w:rsid w:val="00162F9E"/>
    <w:rsid w:val="00163CCD"/>
    <w:rsid w:val="00164781"/>
    <w:rsid w:val="001648F7"/>
    <w:rsid w:val="00164B45"/>
    <w:rsid w:val="001651E9"/>
    <w:rsid w:val="001655A6"/>
    <w:rsid w:val="00166520"/>
    <w:rsid w:val="00166841"/>
    <w:rsid w:val="0016687B"/>
    <w:rsid w:val="001670C0"/>
    <w:rsid w:val="001679FE"/>
    <w:rsid w:val="00167F78"/>
    <w:rsid w:val="00170171"/>
    <w:rsid w:val="00170D35"/>
    <w:rsid w:val="00171377"/>
    <w:rsid w:val="001715A4"/>
    <w:rsid w:val="00171950"/>
    <w:rsid w:val="00171C94"/>
    <w:rsid w:val="00171CE5"/>
    <w:rsid w:val="00171E80"/>
    <w:rsid w:val="00172ACC"/>
    <w:rsid w:val="00173E02"/>
    <w:rsid w:val="00174417"/>
    <w:rsid w:val="001746DA"/>
    <w:rsid w:val="00174C63"/>
    <w:rsid w:val="00175261"/>
    <w:rsid w:val="001756D7"/>
    <w:rsid w:val="001758C3"/>
    <w:rsid w:val="00175B2E"/>
    <w:rsid w:val="00175F11"/>
    <w:rsid w:val="001767CD"/>
    <w:rsid w:val="00176DD0"/>
    <w:rsid w:val="00176DED"/>
    <w:rsid w:val="00176EC3"/>
    <w:rsid w:val="00177C66"/>
    <w:rsid w:val="00177D80"/>
    <w:rsid w:val="00177EA1"/>
    <w:rsid w:val="00180532"/>
    <w:rsid w:val="001808B8"/>
    <w:rsid w:val="001808B9"/>
    <w:rsid w:val="00180F7D"/>
    <w:rsid w:val="0018201E"/>
    <w:rsid w:val="001825BD"/>
    <w:rsid w:val="00182ABF"/>
    <w:rsid w:val="00182B25"/>
    <w:rsid w:val="00182BD7"/>
    <w:rsid w:val="001832A3"/>
    <w:rsid w:val="0018398E"/>
    <w:rsid w:val="001839A1"/>
    <w:rsid w:val="001839F9"/>
    <w:rsid w:val="00183B00"/>
    <w:rsid w:val="00183D5B"/>
    <w:rsid w:val="001842C8"/>
    <w:rsid w:val="001847F2"/>
    <w:rsid w:val="001848C0"/>
    <w:rsid w:val="001849FD"/>
    <w:rsid w:val="00185318"/>
    <w:rsid w:val="001859DA"/>
    <w:rsid w:val="00185C33"/>
    <w:rsid w:val="001863D5"/>
    <w:rsid w:val="00186440"/>
    <w:rsid w:val="00186441"/>
    <w:rsid w:val="00186658"/>
    <w:rsid w:val="0018680C"/>
    <w:rsid w:val="00186884"/>
    <w:rsid w:val="001869DB"/>
    <w:rsid w:val="001872A6"/>
    <w:rsid w:val="0018745B"/>
    <w:rsid w:val="00191387"/>
    <w:rsid w:val="001915E3"/>
    <w:rsid w:val="00191A43"/>
    <w:rsid w:val="00191C43"/>
    <w:rsid w:val="00191F72"/>
    <w:rsid w:val="0019230A"/>
    <w:rsid w:val="001924B0"/>
    <w:rsid w:val="00192510"/>
    <w:rsid w:val="00192D02"/>
    <w:rsid w:val="00192FDD"/>
    <w:rsid w:val="00192FF0"/>
    <w:rsid w:val="00193343"/>
    <w:rsid w:val="00193C17"/>
    <w:rsid w:val="00193C26"/>
    <w:rsid w:val="00193DE7"/>
    <w:rsid w:val="00194082"/>
    <w:rsid w:val="0019422C"/>
    <w:rsid w:val="0019448A"/>
    <w:rsid w:val="001946A1"/>
    <w:rsid w:val="00195118"/>
    <w:rsid w:val="00195184"/>
    <w:rsid w:val="00195290"/>
    <w:rsid w:val="00195788"/>
    <w:rsid w:val="00195916"/>
    <w:rsid w:val="00196023"/>
    <w:rsid w:val="00196790"/>
    <w:rsid w:val="001968E0"/>
    <w:rsid w:val="0019694D"/>
    <w:rsid w:val="00196AB0"/>
    <w:rsid w:val="00196AB7"/>
    <w:rsid w:val="00196D52"/>
    <w:rsid w:val="0019701E"/>
    <w:rsid w:val="00197ADB"/>
    <w:rsid w:val="00197D61"/>
    <w:rsid w:val="001A0145"/>
    <w:rsid w:val="001A0ED5"/>
    <w:rsid w:val="001A1035"/>
    <w:rsid w:val="001A10EC"/>
    <w:rsid w:val="001A135E"/>
    <w:rsid w:val="001A2206"/>
    <w:rsid w:val="001A23AF"/>
    <w:rsid w:val="001A2DC6"/>
    <w:rsid w:val="001A320C"/>
    <w:rsid w:val="001A3407"/>
    <w:rsid w:val="001A396F"/>
    <w:rsid w:val="001A4145"/>
    <w:rsid w:val="001A41C7"/>
    <w:rsid w:val="001A5275"/>
    <w:rsid w:val="001A568A"/>
    <w:rsid w:val="001A58F1"/>
    <w:rsid w:val="001A59FE"/>
    <w:rsid w:val="001A68AC"/>
    <w:rsid w:val="001A6BC4"/>
    <w:rsid w:val="001A6C85"/>
    <w:rsid w:val="001A730E"/>
    <w:rsid w:val="001A7736"/>
    <w:rsid w:val="001A7929"/>
    <w:rsid w:val="001B0373"/>
    <w:rsid w:val="001B03D5"/>
    <w:rsid w:val="001B0640"/>
    <w:rsid w:val="001B0A13"/>
    <w:rsid w:val="001B0A19"/>
    <w:rsid w:val="001B0ADE"/>
    <w:rsid w:val="001B15B2"/>
    <w:rsid w:val="001B1CA6"/>
    <w:rsid w:val="001B2137"/>
    <w:rsid w:val="001B2CE3"/>
    <w:rsid w:val="001B2DFD"/>
    <w:rsid w:val="001B2E7B"/>
    <w:rsid w:val="001B321F"/>
    <w:rsid w:val="001B32D4"/>
    <w:rsid w:val="001B3BBC"/>
    <w:rsid w:val="001B3F25"/>
    <w:rsid w:val="001B4327"/>
    <w:rsid w:val="001B43C7"/>
    <w:rsid w:val="001B4AF0"/>
    <w:rsid w:val="001B4D7E"/>
    <w:rsid w:val="001B5187"/>
    <w:rsid w:val="001B576F"/>
    <w:rsid w:val="001B5BF7"/>
    <w:rsid w:val="001B677A"/>
    <w:rsid w:val="001B7C4F"/>
    <w:rsid w:val="001B7DFD"/>
    <w:rsid w:val="001C07AD"/>
    <w:rsid w:val="001C0D6C"/>
    <w:rsid w:val="001C142C"/>
    <w:rsid w:val="001C1574"/>
    <w:rsid w:val="001C158C"/>
    <w:rsid w:val="001C1F92"/>
    <w:rsid w:val="001C2563"/>
    <w:rsid w:val="001C2777"/>
    <w:rsid w:val="001C2C64"/>
    <w:rsid w:val="001C2D41"/>
    <w:rsid w:val="001C3465"/>
    <w:rsid w:val="001C3DDB"/>
    <w:rsid w:val="001C3E40"/>
    <w:rsid w:val="001C3F9C"/>
    <w:rsid w:val="001C40F0"/>
    <w:rsid w:val="001C4247"/>
    <w:rsid w:val="001C4B5C"/>
    <w:rsid w:val="001C51F1"/>
    <w:rsid w:val="001C5596"/>
    <w:rsid w:val="001C595B"/>
    <w:rsid w:val="001C5A01"/>
    <w:rsid w:val="001C5B97"/>
    <w:rsid w:val="001C5EFC"/>
    <w:rsid w:val="001C5F92"/>
    <w:rsid w:val="001C644D"/>
    <w:rsid w:val="001C65AF"/>
    <w:rsid w:val="001C6874"/>
    <w:rsid w:val="001C6B56"/>
    <w:rsid w:val="001C6BD8"/>
    <w:rsid w:val="001C6CA6"/>
    <w:rsid w:val="001C6F56"/>
    <w:rsid w:val="001C76D2"/>
    <w:rsid w:val="001C7869"/>
    <w:rsid w:val="001C79E1"/>
    <w:rsid w:val="001D03FA"/>
    <w:rsid w:val="001D09DC"/>
    <w:rsid w:val="001D0BD7"/>
    <w:rsid w:val="001D0D5F"/>
    <w:rsid w:val="001D1619"/>
    <w:rsid w:val="001D1BAD"/>
    <w:rsid w:val="001D1E7D"/>
    <w:rsid w:val="001D1F45"/>
    <w:rsid w:val="001D253F"/>
    <w:rsid w:val="001D2789"/>
    <w:rsid w:val="001D29BC"/>
    <w:rsid w:val="001D31F5"/>
    <w:rsid w:val="001D3815"/>
    <w:rsid w:val="001D3979"/>
    <w:rsid w:val="001D3E6C"/>
    <w:rsid w:val="001D412B"/>
    <w:rsid w:val="001D4260"/>
    <w:rsid w:val="001D454B"/>
    <w:rsid w:val="001D45F7"/>
    <w:rsid w:val="001D46B0"/>
    <w:rsid w:val="001D4A05"/>
    <w:rsid w:val="001D519B"/>
    <w:rsid w:val="001D54D6"/>
    <w:rsid w:val="001D5749"/>
    <w:rsid w:val="001D5A37"/>
    <w:rsid w:val="001D67C9"/>
    <w:rsid w:val="001D6FCE"/>
    <w:rsid w:val="001D72D0"/>
    <w:rsid w:val="001D7C99"/>
    <w:rsid w:val="001D7CA2"/>
    <w:rsid w:val="001E0401"/>
    <w:rsid w:val="001E0A3C"/>
    <w:rsid w:val="001E0E93"/>
    <w:rsid w:val="001E0F27"/>
    <w:rsid w:val="001E1096"/>
    <w:rsid w:val="001E18ED"/>
    <w:rsid w:val="001E1ED7"/>
    <w:rsid w:val="001E1EDA"/>
    <w:rsid w:val="001E232E"/>
    <w:rsid w:val="001E28A5"/>
    <w:rsid w:val="001E28B4"/>
    <w:rsid w:val="001E2C9D"/>
    <w:rsid w:val="001E32CB"/>
    <w:rsid w:val="001E3415"/>
    <w:rsid w:val="001E3432"/>
    <w:rsid w:val="001E36DB"/>
    <w:rsid w:val="001E3B27"/>
    <w:rsid w:val="001E402A"/>
    <w:rsid w:val="001E421E"/>
    <w:rsid w:val="001E4480"/>
    <w:rsid w:val="001E46E8"/>
    <w:rsid w:val="001E4C3E"/>
    <w:rsid w:val="001E4F95"/>
    <w:rsid w:val="001E559B"/>
    <w:rsid w:val="001E5A87"/>
    <w:rsid w:val="001E5C94"/>
    <w:rsid w:val="001E6334"/>
    <w:rsid w:val="001E655D"/>
    <w:rsid w:val="001E6766"/>
    <w:rsid w:val="001E6D11"/>
    <w:rsid w:val="001E6F71"/>
    <w:rsid w:val="001E72E7"/>
    <w:rsid w:val="001E7638"/>
    <w:rsid w:val="001E77ED"/>
    <w:rsid w:val="001E7A20"/>
    <w:rsid w:val="001E7D37"/>
    <w:rsid w:val="001E7E95"/>
    <w:rsid w:val="001F02CC"/>
    <w:rsid w:val="001F052F"/>
    <w:rsid w:val="001F070F"/>
    <w:rsid w:val="001F0738"/>
    <w:rsid w:val="001F0D14"/>
    <w:rsid w:val="001F0FAD"/>
    <w:rsid w:val="001F1603"/>
    <w:rsid w:val="001F16D1"/>
    <w:rsid w:val="001F2040"/>
    <w:rsid w:val="001F2689"/>
    <w:rsid w:val="001F26B6"/>
    <w:rsid w:val="001F29D7"/>
    <w:rsid w:val="001F2ADA"/>
    <w:rsid w:val="001F2C35"/>
    <w:rsid w:val="001F2E53"/>
    <w:rsid w:val="001F309A"/>
    <w:rsid w:val="001F3950"/>
    <w:rsid w:val="001F3B65"/>
    <w:rsid w:val="001F409F"/>
    <w:rsid w:val="001F4186"/>
    <w:rsid w:val="001F435B"/>
    <w:rsid w:val="001F448F"/>
    <w:rsid w:val="001F49DE"/>
    <w:rsid w:val="001F5BD3"/>
    <w:rsid w:val="001F644B"/>
    <w:rsid w:val="001F6F13"/>
    <w:rsid w:val="001F6F4C"/>
    <w:rsid w:val="001F743B"/>
    <w:rsid w:val="00200156"/>
    <w:rsid w:val="002009C7"/>
    <w:rsid w:val="00200A89"/>
    <w:rsid w:val="00200E3A"/>
    <w:rsid w:val="002010D6"/>
    <w:rsid w:val="002013E1"/>
    <w:rsid w:val="0020171E"/>
    <w:rsid w:val="002017E1"/>
    <w:rsid w:val="00201B53"/>
    <w:rsid w:val="00201C5F"/>
    <w:rsid w:val="00202199"/>
    <w:rsid w:val="002021EC"/>
    <w:rsid w:val="0020220A"/>
    <w:rsid w:val="00202415"/>
    <w:rsid w:val="002025A1"/>
    <w:rsid w:val="002026A6"/>
    <w:rsid w:val="00202732"/>
    <w:rsid w:val="00202FD8"/>
    <w:rsid w:val="00203282"/>
    <w:rsid w:val="00203407"/>
    <w:rsid w:val="00203D78"/>
    <w:rsid w:val="002044FD"/>
    <w:rsid w:val="002045DE"/>
    <w:rsid w:val="00204990"/>
    <w:rsid w:val="00204D21"/>
    <w:rsid w:val="00204DC5"/>
    <w:rsid w:val="00204F04"/>
    <w:rsid w:val="00204F0F"/>
    <w:rsid w:val="002051CB"/>
    <w:rsid w:val="00205BD6"/>
    <w:rsid w:val="00206586"/>
    <w:rsid w:val="0020731A"/>
    <w:rsid w:val="00207C7C"/>
    <w:rsid w:val="00207E85"/>
    <w:rsid w:val="002100FA"/>
    <w:rsid w:val="0021037C"/>
    <w:rsid w:val="00210BBE"/>
    <w:rsid w:val="002118DF"/>
    <w:rsid w:val="00211A95"/>
    <w:rsid w:val="00211C4C"/>
    <w:rsid w:val="00211CA5"/>
    <w:rsid w:val="00211E21"/>
    <w:rsid w:val="00211E39"/>
    <w:rsid w:val="00211F67"/>
    <w:rsid w:val="00212107"/>
    <w:rsid w:val="002127C0"/>
    <w:rsid w:val="00212F08"/>
    <w:rsid w:val="00212FE4"/>
    <w:rsid w:val="0021336B"/>
    <w:rsid w:val="00213B75"/>
    <w:rsid w:val="00214096"/>
    <w:rsid w:val="00214AD1"/>
    <w:rsid w:val="00215517"/>
    <w:rsid w:val="002157DA"/>
    <w:rsid w:val="00215A43"/>
    <w:rsid w:val="00215A81"/>
    <w:rsid w:val="00215DEA"/>
    <w:rsid w:val="00215EBF"/>
    <w:rsid w:val="0021619A"/>
    <w:rsid w:val="002165C3"/>
    <w:rsid w:val="00216669"/>
    <w:rsid w:val="00216F6B"/>
    <w:rsid w:val="002172DE"/>
    <w:rsid w:val="00217572"/>
    <w:rsid w:val="002178B8"/>
    <w:rsid w:val="00220143"/>
    <w:rsid w:val="00220208"/>
    <w:rsid w:val="00220470"/>
    <w:rsid w:val="002206B9"/>
    <w:rsid w:val="00221670"/>
    <w:rsid w:val="002216CF"/>
    <w:rsid w:val="00221DA3"/>
    <w:rsid w:val="00222359"/>
    <w:rsid w:val="002226CC"/>
    <w:rsid w:val="00222805"/>
    <w:rsid w:val="00222856"/>
    <w:rsid w:val="0022289D"/>
    <w:rsid w:val="00222BCC"/>
    <w:rsid w:val="002230A1"/>
    <w:rsid w:val="00223215"/>
    <w:rsid w:val="00223AF5"/>
    <w:rsid w:val="00223E0C"/>
    <w:rsid w:val="0022405B"/>
    <w:rsid w:val="00224AE5"/>
    <w:rsid w:val="00224D58"/>
    <w:rsid w:val="00224E39"/>
    <w:rsid w:val="00225052"/>
    <w:rsid w:val="002258FA"/>
    <w:rsid w:val="00225BEB"/>
    <w:rsid w:val="002260C0"/>
    <w:rsid w:val="002260FC"/>
    <w:rsid w:val="00226F53"/>
    <w:rsid w:val="0023039D"/>
    <w:rsid w:val="0023071C"/>
    <w:rsid w:val="0023074D"/>
    <w:rsid w:val="002308D0"/>
    <w:rsid w:val="00230986"/>
    <w:rsid w:val="00231733"/>
    <w:rsid w:val="00231AB5"/>
    <w:rsid w:val="00231E3E"/>
    <w:rsid w:val="00232217"/>
    <w:rsid w:val="00232475"/>
    <w:rsid w:val="0023251D"/>
    <w:rsid w:val="00232B71"/>
    <w:rsid w:val="00233360"/>
    <w:rsid w:val="002339C5"/>
    <w:rsid w:val="00233AA5"/>
    <w:rsid w:val="00233D2E"/>
    <w:rsid w:val="0023402C"/>
    <w:rsid w:val="0023474E"/>
    <w:rsid w:val="00234A59"/>
    <w:rsid w:val="00234B9A"/>
    <w:rsid w:val="00235033"/>
    <w:rsid w:val="002352BB"/>
    <w:rsid w:val="002353FB"/>
    <w:rsid w:val="00235A7B"/>
    <w:rsid w:val="0023645B"/>
    <w:rsid w:val="00236DCD"/>
    <w:rsid w:val="002370C1"/>
    <w:rsid w:val="00237700"/>
    <w:rsid w:val="00237CEC"/>
    <w:rsid w:val="00237D7B"/>
    <w:rsid w:val="00237E54"/>
    <w:rsid w:val="00241BE0"/>
    <w:rsid w:val="00242BD7"/>
    <w:rsid w:val="00242EE6"/>
    <w:rsid w:val="00242F90"/>
    <w:rsid w:val="002431F6"/>
    <w:rsid w:val="00243780"/>
    <w:rsid w:val="00244841"/>
    <w:rsid w:val="00244C96"/>
    <w:rsid w:val="00244D6F"/>
    <w:rsid w:val="00244F3D"/>
    <w:rsid w:val="00244F9C"/>
    <w:rsid w:val="002451E1"/>
    <w:rsid w:val="0024534B"/>
    <w:rsid w:val="00245A16"/>
    <w:rsid w:val="00245B03"/>
    <w:rsid w:val="00245CE8"/>
    <w:rsid w:val="00245D16"/>
    <w:rsid w:val="00245F2A"/>
    <w:rsid w:val="002462CD"/>
    <w:rsid w:val="0024641C"/>
    <w:rsid w:val="00246709"/>
    <w:rsid w:val="00246B1A"/>
    <w:rsid w:val="00246B3A"/>
    <w:rsid w:val="00246C3E"/>
    <w:rsid w:val="00246EDC"/>
    <w:rsid w:val="00247667"/>
    <w:rsid w:val="002500AA"/>
    <w:rsid w:val="002500F2"/>
    <w:rsid w:val="002503FD"/>
    <w:rsid w:val="0025072B"/>
    <w:rsid w:val="00250CB3"/>
    <w:rsid w:val="00250E47"/>
    <w:rsid w:val="0025130C"/>
    <w:rsid w:val="00251B29"/>
    <w:rsid w:val="00251B3E"/>
    <w:rsid w:val="00251C7D"/>
    <w:rsid w:val="00251CEF"/>
    <w:rsid w:val="00252291"/>
    <w:rsid w:val="00252973"/>
    <w:rsid w:val="002529CD"/>
    <w:rsid w:val="00253207"/>
    <w:rsid w:val="0025334A"/>
    <w:rsid w:val="00253456"/>
    <w:rsid w:val="0025346F"/>
    <w:rsid w:val="00253699"/>
    <w:rsid w:val="00253B78"/>
    <w:rsid w:val="00253C8A"/>
    <w:rsid w:val="00253F60"/>
    <w:rsid w:val="00254FE4"/>
    <w:rsid w:val="002550FC"/>
    <w:rsid w:val="002551C5"/>
    <w:rsid w:val="002560D3"/>
    <w:rsid w:val="002561DB"/>
    <w:rsid w:val="002565FB"/>
    <w:rsid w:val="002568A7"/>
    <w:rsid w:val="00256B0C"/>
    <w:rsid w:val="002573E8"/>
    <w:rsid w:val="002573EC"/>
    <w:rsid w:val="002574BE"/>
    <w:rsid w:val="00257796"/>
    <w:rsid w:val="002579F1"/>
    <w:rsid w:val="00257AE4"/>
    <w:rsid w:val="00257B2E"/>
    <w:rsid w:val="002600F9"/>
    <w:rsid w:val="00260763"/>
    <w:rsid w:val="0026107D"/>
    <w:rsid w:val="0026114C"/>
    <w:rsid w:val="0026122C"/>
    <w:rsid w:val="002613C2"/>
    <w:rsid w:val="0026174F"/>
    <w:rsid w:val="00261A1C"/>
    <w:rsid w:val="002621C2"/>
    <w:rsid w:val="00262260"/>
    <w:rsid w:val="002622A0"/>
    <w:rsid w:val="002622C2"/>
    <w:rsid w:val="002622ED"/>
    <w:rsid w:val="00262744"/>
    <w:rsid w:val="0026297D"/>
    <w:rsid w:val="00262B94"/>
    <w:rsid w:val="00262D4B"/>
    <w:rsid w:val="00262FBA"/>
    <w:rsid w:val="0026366A"/>
    <w:rsid w:val="0026384A"/>
    <w:rsid w:val="0026501E"/>
    <w:rsid w:val="0026575D"/>
    <w:rsid w:val="00266438"/>
    <w:rsid w:val="00266447"/>
    <w:rsid w:val="00266754"/>
    <w:rsid w:val="00266766"/>
    <w:rsid w:val="00266915"/>
    <w:rsid w:val="00266CF5"/>
    <w:rsid w:val="00266EF5"/>
    <w:rsid w:val="0026763F"/>
    <w:rsid w:val="00267F80"/>
    <w:rsid w:val="00270996"/>
    <w:rsid w:val="00270BE1"/>
    <w:rsid w:val="00270F03"/>
    <w:rsid w:val="00271BB2"/>
    <w:rsid w:val="00272119"/>
    <w:rsid w:val="0027332F"/>
    <w:rsid w:val="0027347B"/>
    <w:rsid w:val="002742A9"/>
    <w:rsid w:val="00274315"/>
    <w:rsid w:val="00274731"/>
    <w:rsid w:val="002751A0"/>
    <w:rsid w:val="00276CD3"/>
    <w:rsid w:val="00276F2B"/>
    <w:rsid w:val="00277595"/>
    <w:rsid w:val="00277727"/>
    <w:rsid w:val="002777C6"/>
    <w:rsid w:val="00277E75"/>
    <w:rsid w:val="00280340"/>
    <w:rsid w:val="00280403"/>
    <w:rsid w:val="00280567"/>
    <w:rsid w:val="0028058C"/>
    <w:rsid w:val="002807CE"/>
    <w:rsid w:val="0028110F"/>
    <w:rsid w:val="00281680"/>
    <w:rsid w:val="00281999"/>
    <w:rsid w:val="00281AB4"/>
    <w:rsid w:val="00281BDB"/>
    <w:rsid w:val="00281C23"/>
    <w:rsid w:val="0028223F"/>
    <w:rsid w:val="00282357"/>
    <w:rsid w:val="00282614"/>
    <w:rsid w:val="0028265D"/>
    <w:rsid w:val="00282DB0"/>
    <w:rsid w:val="00282E0A"/>
    <w:rsid w:val="002830E1"/>
    <w:rsid w:val="00283437"/>
    <w:rsid w:val="002835C9"/>
    <w:rsid w:val="00283817"/>
    <w:rsid w:val="0028388C"/>
    <w:rsid w:val="00283919"/>
    <w:rsid w:val="0028422C"/>
    <w:rsid w:val="0028429A"/>
    <w:rsid w:val="00284414"/>
    <w:rsid w:val="00285655"/>
    <w:rsid w:val="00285EEB"/>
    <w:rsid w:val="00285F5C"/>
    <w:rsid w:val="00286233"/>
    <w:rsid w:val="00286A42"/>
    <w:rsid w:val="00286C93"/>
    <w:rsid w:val="0028762F"/>
    <w:rsid w:val="00287BCD"/>
    <w:rsid w:val="0029033A"/>
    <w:rsid w:val="00290F39"/>
    <w:rsid w:val="002910AD"/>
    <w:rsid w:val="00291189"/>
    <w:rsid w:val="0029150B"/>
    <w:rsid w:val="002919CA"/>
    <w:rsid w:val="00291C3D"/>
    <w:rsid w:val="00292399"/>
    <w:rsid w:val="0029268D"/>
    <w:rsid w:val="002928F7"/>
    <w:rsid w:val="00292900"/>
    <w:rsid w:val="00292943"/>
    <w:rsid w:val="00292CA7"/>
    <w:rsid w:val="002931BA"/>
    <w:rsid w:val="00293312"/>
    <w:rsid w:val="00293787"/>
    <w:rsid w:val="00293BBB"/>
    <w:rsid w:val="00293D6E"/>
    <w:rsid w:val="00293F5C"/>
    <w:rsid w:val="002942F1"/>
    <w:rsid w:val="002943C0"/>
    <w:rsid w:val="002955AF"/>
    <w:rsid w:val="00295A0B"/>
    <w:rsid w:val="00296368"/>
    <w:rsid w:val="00296539"/>
    <w:rsid w:val="00296B1D"/>
    <w:rsid w:val="00296BDD"/>
    <w:rsid w:val="00297D29"/>
    <w:rsid w:val="00297EE3"/>
    <w:rsid w:val="00297F57"/>
    <w:rsid w:val="002A018E"/>
    <w:rsid w:val="002A0ABA"/>
    <w:rsid w:val="002A0F75"/>
    <w:rsid w:val="002A11DF"/>
    <w:rsid w:val="002A1753"/>
    <w:rsid w:val="002A1CA0"/>
    <w:rsid w:val="002A20B7"/>
    <w:rsid w:val="002A261D"/>
    <w:rsid w:val="002A2D0A"/>
    <w:rsid w:val="002A3A32"/>
    <w:rsid w:val="002A3CA5"/>
    <w:rsid w:val="002A4068"/>
    <w:rsid w:val="002A43BD"/>
    <w:rsid w:val="002A4722"/>
    <w:rsid w:val="002A4D08"/>
    <w:rsid w:val="002A51FB"/>
    <w:rsid w:val="002A5277"/>
    <w:rsid w:val="002A537F"/>
    <w:rsid w:val="002A5554"/>
    <w:rsid w:val="002A5679"/>
    <w:rsid w:val="002A5E94"/>
    <w:rsid w:val="002A5EE2"/>
    <w:rsid w:val="002A60E1"/>
    <w:rsid w:val="002A6614"/>
    <w:rsid w:val="002A6858"/>
    <w:rsid w:val="002A6C0D"/>
    <w:rsid w:val="002A7016"/>
    <w:rsid w:val="002A7449"/>
    <w:rsid w:val="002A788D"/>
    <w:rsid w:val="002A7A1B"/>
    <w:rsid w:val="002A7B4D"/>
    <w:rsid w:val="002A7E6B"/>
    <w:rsid w:val="002A7ED0"/>
    <w:rsid w:val="002A7EEB"/>
    <w:rsid w:val="002A7F9F"/>
    <w:rsid w:val="002B0012"/>
    <w:rsid w:val="002B0282"/>
    <w:rsid w:val="002B03B5"/>
    <w:rsid w:val="002B08FD"/>
    <w:rsid w:val="002B0906"/>
    <w:rsid w:val="002B0B47"/>
    <w:rsid w:val="002B0B64"/>
    <w:rsid w:val="002B109B"/>
    <w:rsid w:val="002B1161"/>
    <w:rsid w:val="002B145A"/>
    <w:rsid w:val="002B168A"/>
    <w:rsid w:val="002B204E"/>
    <w:rsid w:val="002B23E2"/>
    <w:rsid w:val="002B2482"/>
    <w:rsid w:val="002B26A8"/>
    <w:rsid w:val="002B2A0F"/>
    <w:rsid w:val="002B3431"/>
    <w:rsid w:val="002B3B40"/>
    <w:rsid w:val="002B41E4"/>
    <w:rsid w:val="002B4530"/>
    <w:rsid w:val="002B4CF2"/>
    <w:rsid w:val="002B4D64"/>
    <w:rsid w:val="002B5291"/>
    <w:rsid w:val="002B5B8A"/>
    <w:rsid w:val="002B619D"/>
    <w:rsid w:val="002B6673"/>
    <w:rsid w:val="002B6A67"/>
    <w:rsid w:val="002B6D9E"/>
    <w:rsid w:val="002B6F24"/>
    <w:rsid w:val="002B73AB"/>
    <w:rsid w:val="002B75D1"/>
    <w:rsid w:val="002B7621"/>
    <w:rsid w:val="002B76BB"/>
    <w:rsid w:val="002B7865"/>
    <w:rsid w:val="002B787E"/>
    <w:rsid w:val="002B7CC6"/>
    <w:rsid w:val="002C04EC"/>
    <w:rsid w:val="002C0B38"/>
    <w:rsid w:val="002C13B6"/>
    <w:rsid w:val="002C13C7"/>
    <w:rsid w:val="002C15E6"/>
    <w:rsid w:val="002C1882"/>
    <w:rsid w:val="002C210E"/>
    <w:rsid w:val="002C2310"/>
    <w:rsid w:val="002C2F5F"/>
    <w:rsid w:val="002C3194"/>
    <w:rsid w:val="002C439A"/>
    <w:rsid w:val="002C4774"/>
    <w:rsid w:val="002C4B63"/>
    <w:rsid w:val="002C54FD"/>
    <w:rsid w:val="002C5DCC"/>
    <w:rsid w:val="002C63DE"/>
    <w:rsid w:val="002C665C"/>
    <w:rsid w:val="002C6739"/>
    <w:rsid w:val="002C6807"/>
    <w:rsid w:val="002C6F5C"/>
    <w:rsid w:val="002C791E"/>
    <w:rsid w:val="002C7E70"/>
    <w:rsid w:val="002D022D"/>
    <w:rsid w:val="002D0267"/>
    <w:rsid w:val="002D02C5"/>
    <w:rsid w:val="002D0591"/>
    <w:rsid w:val="002D0830"/>
    <w:rsid w:val="002D0D57"/>
    <w:rsid w:val="002D0D87"/>
    <w:rsid w:val="002D1650"/>
    <w:rsid w:val="002D1BF1"/>
    <w:rsid w:val="002D1F09"/>
    <w:rsid w:val="002D2D27"/>
    <w:rsid w:val="002D3461"/>
    <w:rsid w:val="002D34DC"/>
    <w:rsid w:val="002D364D"/>
    <w:rsid w:val="002D3840"/>
    <w:rsid w:val="002D41E7"/>
    <w:rsid w:val="002D4264"/>
    <w:rsid w:val="002D43F8"/>
    <w:rsid w:val="002D485D"/>
    <w:rsid w:val="002D4AD7"/>
    <w:rsid w:val="002D4D26"/>
    <w:rsid w:val="002D52A2"/>
    <w:rsid w:val="002D55E1"/>
    <w:rsid w:val="002D5814"/>
    <w:rsid w:val="002D5BD8"/>
    <w:rsid w:val="002D5BFC"/>
    <w:rsid w:val="002D5FBA"/>
    <w:rsid w:val="002D625F"/>
    <w:rsid w:val="002D6ABF"/>
    <w:rsid w:val="002D6B70"/>
    <w:rsid w:val="002D6C3F"/>
    <w:rsid w:val="002D7216"/>
    <w:rsid w:val="002D7D59"/>
    <w:rsid w:val="002D7F57"/>
    <w:rsid w:val="002E16FE"/>
    <w:rsid w:val="002E188F"/>
    <w:rsid w:val="002E1A41"/>
    <w:rsid w:val="002E2389"/>
    <w:rsid w:val="002E290A"/>
    <w:rsid w:val="002E314C"/>
    <w:rsid w:val="002E34A0"/>
    <w:rsid w:val="002E3717"/>
    <w:rsid w:val="002E3BCF"/>
    <w:rsid w:val="002E3FEB"/>
    <w:rsid w:val="002E4855"/>
    <w:rsid w:val="002E4BDB"/>
    <w:rsid w:val="002E5108"/>
    <w:rsid w:val="002E5F18"/>
    <w:rsid w:val="002E6010"/>
    <w:rsid w:val="002E626D"/>
    <w:rsid w:val="002E63C3"/>
    <w:rsid w:val="002E65BA"/>
    <w:rsid w:val="002E697F"/>
    <w:rsid w:val="002E70A4"/>
    <w:rsid w:val="002E75B9"/>
    <w:rsid w:val="002E7D73"/>
    <w:rsid w:val="002E7E01"/>
    <w:rsid w:val="002F01F6"/>
    <w:rsid w:val="002F06F9"/>
    <w:rsid w:val="002F0743"/>
    <w:rsid w:val="002F1188"/>
    <w:rsid w:val="002F11B8"/>
    <w:rsid w:val="002F1307"/>
    <w:rsid w:val="002F13FB"/>
    <w:rsid w:val="002F18F7"/>
    <w:rsid w:val="002F1B53"/>
    <w:rsid w:val="002F22A2"/>
    <w:rsid w:val="002F2674"/>
    <w:rsid w:val="002F28BC"/>
    <w:rsid w:val="002F2975"/>
    <w:rsid w:val="002F3150"/>
    <w:rsid w:val="002F365D"/>
    <w:rsid w:val="002F37F0"/>
    <w:rsid w:val="002F3856"/>
    <w:rsid w:val="002F3983"/>
    <w:rsid w:val="002F3F19"/>
    <w:rsid w:val="002F419E"/>
    <w:rsid w:val="002F4274"/>
    <w:rsid w:val="002F45A9"/>
    <w:rsid w:val="002F49AE"/>
    <w:rsid w:val="002F4A85"/>
    <w:rsid w:val="002F4F3F"/>
    <w:rsid w:val="002F51FC"/>
    <w:rsid w:val="002F56AC"/>
    <w:rsid w:val="002F58F6"/>
    <w:rsid w:val="002F5F0B"/>
    <w:rsid w:val="002F64AE"/>
    <w:rsid w:val="002F68FF"/>
    <w:rsid w:val="002F69C5"/>
    <w:rsid w:val="002F6B52"/>
    <w:rsid w:val="002F6BA7"/>
    <w:rsid w:val="002F6BDC"/>
    <w:rsid w:val="002F6BFC"/>
    <w:rsid w:val="002F700E"/>
    <w:rsid w:val="002F7268"/>
    <w:rsid w:val="002F7540"/>
    <w:rsid w:val="002F7AE0"/>
    <w:rsid w:val="003002FA"/>
    <w:rsid w:val="003003CF"/>
    <w:rsid w:val="003018B8"/>
    <w:rsid w:val="00302871"/>
    <w:rsid w:val="00302C2D"/>
    <w:rsid w:val="00302E77"/>
    <w:rsid w:val="00302F76"/>
    <w:rsid w:val="003035DB"/>
    <w:rsid w:val="00303895"/>
    <w:rsid w:val="00303A93"/>
    <w:rsid w:val="00303AB8"/>
    <w:rsid w:val="00303C4B"/>
    <w:rsid w:val="00303E46"/>
    <w:rsid w:val="0030410F"/>
    <w:rsid w:val="003049B7"/>
    <w:rsid w:val="00304C95"/>
    <w:rsid w:val="00304C99"/>
    <w:rsid w:val="00304D8F"/>
    <w:rsid w:val="003052B4"/>
    <w:rsid w:val="00305A4B"/>
    <w:rsid w:val="00306286"/>
    <w:rsid w:val="00306F71"/>
    <w:rsid w:val="00307C20"/>
    <w:rsid w:val="00307FAB"/>
    <w:rsid w:val="00310535"/>
    <w:rsid w:val="00311B38"/>
    <w:rsid w:val="00311CC9"/>
    <w:rsid w:val="003121AC"/>
    <w:rsid w:val="003125E2"/>
    <w:rsid w:val="00312BF6"/>
    <w:rsid w:val="00312D3F"/>
    <w:rsid w:val="00312EED"/>
    <w:rsid w:val="0031329C"/>
    <w:rsid w:val="00313A11"/>
    <w:rsid w:val="00313DC8"/>
    <w:rsid w:val="00313E8F"/>
    <w:rsid w:val="00313ED7"/>
    <w:rsid w:val="0031417F"/>
    <w:rsid w:val="0031453B"/>
    <w:rsid w:val="00314871"/>
    <w:rsid w:val="00314A8F"/>
    <w:rsid w:val="00314AE2"/>
    <w:rsid w:val="00314BE5"/>
    <w:rsid w:val="00315073"/>
    <w:rsid w:val="0031521C"/>
    <w:rsid w:val="003158DA"/>
    <w:rsid w:val="00316217"/>
    <w:rsid w:val="00316D94"/>
    <w:rsid w:val="00316FE2"/>
    <w:rsid w:val="003173EF"/>
    <w:rsid w:val="00317E81"/>
    <w:rsid w:val="003201D6"/>
    <w:rsid w:val="0032034B"/>
    <w:rsid w:val="003207C7"/>
    <w:rsid w:val="00320A49"/>
    <w:rsid w:val="00321318"/>
    <w:rsid w:val="00321453"/>
    <w:rsid w:val="00322492"/>
    <w:rsid w:val="00322619"/>
    <w:rsid w:val="00322996"/>
    <w:rsid w:val="003229FA"/>
    <w:rsid w:val="00323455"/>
    <w:rsid w:val="003239B8"/>
    <w:rsid w:val="00323A70"/>
    <w:rsid w:val="00324386"/>
    <w:rsid w:val="00324703"/>
    <w:rsid w:val="00324768"/>
    <w:rsid w:val="003247DE"/>
    <w:rsid w:val="00324E1F"/>
    <w:rsid w:val="00325891"/>
    <w:rsid w:val="00325C59"/>
    <w:rsid w:val="003262B8"/>
    <w:rsid w:val="00326331"/>
    <w:rsid w:val="003265CB"/>
    <w:rsid w:val="00326961"/>
    <w:rsid w:val="00326B78"/>
    <w:rsid w:val="00326C7C"/>
    <w:rsid w:val="00326D5A"/>
    <w:rsid w:val="003277AE"/>
    <w:rsid w:val="00327C6B"/>
    <w:rsid w:val="00330442"/>
    <w:rsid w:val="003304A7"/>
    <w:rsid w:val="003306F8"/>
    <w:rsid w:val="00330D02"/>
    <w:rsid w:val="00331AEE"/>
    <w:rsid w:val="00331B3B"/>
    <w:rsid w:val="00332469"/>
    <w:rsid w:val="00332AFA"/>
    <w:rsid w:val="00332D62"/>
    <w:rsid w:val="0033344B"/>
    <w:rsid w:val="0033423E"/>
    <w:rsid w:val="0033441F"/>
    <w:rsid w:val="003346A3"/>
    <w:rsid w:val="00334AA0"/>
    <w:rsid w:val="00334E81"/>
    <w:rsid w:val="00334F6A"/>
    <w:rsid w:val="00335124"/>
    <w:rsid w:val="003353AC"/>
    <w:rsid w:val="003355B8"/>
    <w:rsid w:val="00335945"/>
    <w:rsid w:val="0033625E"/>
    <w:rsid w:val="003373E9"/>
    <w:rsid w:val="00337A94"/>
    <w:rsid w:val="00337B38"/>
    <w:rsid w:val="00337B7E"/>
    <w:rsid w:val="00337BEA"/>
    <w:rsid w:val="00337DDA"/>
    <w:rsid w:val="003402C1"/>
    <w:rsid w:val="003403E3"/>
    <w:rsid w:val="003409F2"/>
    <w:rsid w:val="0034118C"/>
    <w:rsid w:val="003413DF"/>
    <w:rsid w:val="00342268"/>
    <w:rsid w:val="00342502"/>
    <w:rsid w:val="00342D14"/>
    <w:rsid w:val="00343045"/>
    <w:rsid w:val="00343523"/>
    <w:rsid w:val="00343D0E"/>
    <w:rsid w:val="003443B0"/>
    <w:rsid w:val="003445A3"/>
    <w:rsid w:val="00344D2B"/>
    <w:rsid w:val="00345993"/>
    <w:rsid w:val="00345CE4"/>
    <w:rsid w:val="00345D08"/>
    <w:rsid w:val="00345ECD"/>
    <w:rsid w:val="003462F8"/>
    <w:rsid w:val="00346FD6"/>
    <w:rsid w:val="0034702C"/>
    <w:rsid w:val="00350C3F"/>
    <w:rsid w:val="0035104C"/>
    <w:rsid w:val="00351071"/>
    <w:rsid w:val="003519E9"/>
    <w:rsid w:val="00351E30"/>
    <w:rsid w:val="00352543"/>
    <w:rsid w:val="00352601"/>
    <w:rsid w:val="003528CD"/>
    <w:rsid w:val="003528FF"/>
    <w:rsid w:val="00352E09"/>
    <w:rsid w:val="00352E33"/>
    <w:rsid w:val="00352E81"/>
    <w:rsid w:val="00353266"/>
    <w:rsid w:val="00353791"/>
    <w:rsid w:val="0035420C"/>
    <w:rsid w:val="00354D5B"/>
    <w:rsid w:val="00354F2F"/>
    <w:rsid w:val="0035563D"/>
    <w:rsid w:val="00355641"/>
    <w:rsid w:val="00355771"/>
    <w:rsid w:val="003557FD"/>
    <w:rsid w:val="0035594A"/>
    <w:rsid w:val="003560B4"/>
    <w:rsid w:val="003565FF"/>
    <w:rsid w:val="0035663B"/>
    <w:rsid w:val="00356CD7"/>
    <w:rsid w:val="00356DA8"/>
    <w:rsid w:val="00356F64"/>
    <w:rsid w:val="00357DFE"/>
    <w:rsid w:val="00361345"/>
    <w:rsid w:val="00361560"/>
    <w:rsid w:val="00361CC7"/>
    <w:rsid w:val="00361FF4"/>
    <w:rsid w:val="00362D9A"/>
    <w:rsid w:val="0036328D"/>
    <w:rsid w:val="00363486"/>
    <w:rsid w:val="00363973"/>
    <w:rsid w:val="00363A14"/>
    <w:rsid w:val="00363E9F"/>
    <w:rsid w:val="0036400C"/>
    <w:rsid w:val="0036447B"/>
    <w:rsid w:val="00364880"/>
    <w:rsid w:val="00364E40"/>
    <w:rsid w:val="0036522E"/>
    <w:rsid w:val="003654C0"/>
    <w:rsid w:val="003654C8"/>
    <w:rsid w:val="0036560E"/>
    <w:rsid w:val="00365C8A"/>
    <w:rsid w:val="00365DAE"/>
    <w:rsid w:val="00365EE7"/>
    <w:rsid w:val="0036616C"/>
    <w:rsid w:val="003663BF"/>
    <w:rsid w:val="00366913"/>
    <w:rsid w:val="00367C3D"/>
    <w:rsid w:val="00370469"/>
    <w:rsid w:val="003708FD"/>
    <w:rsid w:val="00370A27"/>
    <w:rsid w:val="00370E4E"/>
    <w:rsid w:val="00370EAA"/>
    <w:rsid w:val="00371561"/>
    <w:rsid w:val="00371A8A"/>
    <w:rsid w:val="00372AD3"/>
    <w:rsid w:val="00372EB6"/>
    <w:rsid w:val="00373249"/>
    <w:rsid w:val="003737B0"/>
    <w:rsid w:val="00374836"/>
    <w:rsid w:val="003748D3"/>
    <w:rsid w:val="00374B85"/>
    <w:rsid w:val="003750DE"/>
    <w:rsid w:val="003754D7"/>
    <w:rsid w:val="0037589E"/>
    <w:rsid w:val="003764DE"/>
    <w:rsid w:val="00376AFA"/>
    <w:rsid w:val="00376DDD"/>
    <w:rsid w:val="00376DFC"/>
    <w:rsid w:val="00376EC4"/>
    <w:rsid w:val="00376F22"/>
    <w:rsid w:val="00376FB6"/>
    <w:rsid w:val="00377018"/>
    <w:rsid w:val="0037777E"/>
    <w:rsid w:val="00377D02"/>
    <w:rsid w:val="00377E4B"/>
    <w:rsid w:val="00380567"/>
    <w:rsid w:val="0038056F"/>
    <w:rsid w:val="00380DE7"/>
    <w:rsid w:val="00381313"/>
    <w:rsid w:val="0038147C"/>
    <w:rsid w:val="0038220B"/>
    <w:rsid w:val="003827D8"/>
    <w:rsid w:val="0038290E"/>
    <w:rsid w:val="00382F32"/>
    <w:rsid w:val="00383713"/>
    <w:rsid w:val="00384276"/>
    <w:rsid w:val="003845B1"/>
    <w:rsid w:val="0038467B"/>
    <w:rsid w:val="00384C1B"/>
    <w:rsid w:val="00384DCD"/>
    <w:rsid w:val="00384EB5"/>
    <w:rsid w:val="0038510D"/>
    <w:rsid w:val="003852B8"/>
    <w:rsid w:val="003853DC"/>
    <w:rsid w:val="00385513"/>
    <w:rsid w:val="003855D9"/>
    <w:rsid w:val="003856FF"/>
    <w:rsid w:val="00385F74"/>
    <w:rsid w:val="003862FA"/>
    <w:rsid w:val="0038655B"/>
    <w:rsid w:val="00386A38"/>
    <w:rsid w:val="00386A3B"/>
    <w:rsid w:val="00386B48"/>
    <w:rsid w:val="003873CE"/>
    <w:rsid w:val="003877A5"/>
    <w:rsid w:val="00387A69"/>
    <w:rsid w:val="00387D87"/>
    <w:rsid w:val="00387EE0"/>
    <w:rsid w:val="0039020A"/>
    <w:rsid w:val="00390958"/>
    <w:rsid w:val="00390D79"/>
    <w:rsid w:val="0039101D"/>
    <w:rsid w:val="00391472"/>
    <w:rsid w:val="00391F64"/>
    <w:rsid w:val="003931CD"/>
    <w:rsid w:val="003934C9"/>
    <w:rsid w:val="0039378D"/>
    <w:rsid w:val="00393860"/>
    <w:rsid w:val="0039436C"/>
    <w:rsid w:val="00394836"/>
    <w:rsid w:val="00394AB0"/>
    <w:rsid w:val="00394B82"/>
    <w:rsid w:val="00394BBA"/>
    <w:rsid w:val="00395158"/>
    <w:rsid w:val="0039533E"/>
    <w:rsid w:val="0039541F"/>
    <w:rsid w:val="003958AC"/>
    <w:rsid w:val="00395D1C"/>
    <w:rsid w:val="003963B4"/>
    <w:rsid w:val="00396462"/>
    <w:rsid w:val="00396CCC"/>
    <w:rsid w:val="00396D75"/>
    <w:rsid w:val="00396DEC"/>
    <w:rsid w:val="0039734C"/>
    <w:rsid w:val="00397438"/>
    <w:rsid w:val="00397A00"/>
    <w:rsid w:val="00397C85"/>
    <w:rsid w:val="003A0470"/>
    <w:rsid w:val="003A06EB"/>
    <w:rsid w:val="003A0847"/>
    <w:rsid w:val="003A09DF"/>
    <w:rsid w:val="003A0A03"/>
    <w:rsid w:val="003A139F"/>
    <w:rsid w:val="003A153C"/>
    <w:rsid w:val="003A15E8"/>
    <w:rsid w:val="003A1624"/>
    <w:rsid w:val="003A18F8"/>
    <w:rsid w:val="003A2156"/>
    <w:rsid w:val="003A22AA"/>
    <w:rsid w:val="003A2A67"/>
    <w:rsid w:val="003A2E89"/>
    <w:rsid w:val="003A30CC"/>
    <w:rsid w:val="003A3296"/>
    <w:rsid w:val="003A3375"/>
    <w:rsid w:val="003A3573"/>
    <w:rsid w:val="003A36E0"/>
    <w:rsid w:val="003A3E5E"/>
    <w:rsid w:val="003A3F17"/>
    <w:rsid w:val="003A3F6D"/>
    <w:rsid w:val="003A47A6"/>
    <w:rsid w:val="003A4930"/>
    <w:rsid w:val="003A4E37"/>
    <w:rsid w:val="003A5289"/>
    <w:rsid w:val="003A53D0"/>
    <w:rsid w:val="003A603D"/>
    <w:rsid w:val="003A6409"/>
    <w:rsid w:val="003A64F2"/>
    <w:rsid w:val="003A6687"/>
    <w:rsid w:val="003A6C68"/>
    <w:rsid w:val="003A71AD"/>
    <w:rsid w:val="003A74DD"/>
    <w:rsid w:val="003A7690"/>
    <w:rsid w:val="003A78F0"/>
    <w:rsid w:val="003B0601"/>
    <w:rsid w:val="003B0A91"/>
    <w:rsid w:val="003B0B3A"/>
    <w:rsid w:val="003B10EE"/>
    <w:rsid w:val="003B20F2"/>
    <w:rsid w:val="003B22E8"/>
    <w:rsid w:val="003B2D7B"/>
    <w:rsid w:val="003B2FCF"/>
    <w:rsid w:val="003B308A"/>
    <w:rsid w:val="003B32D3"/>
    <w:rsid w:val="003B3A46"/>
    <w:rsid w:val="003B3E63"/>
    <w:rsid w:val="003B42F1"/>
    <w:rsid w:val="003B42FE"/>
    <w:rsid w:val="003B4C5A"/>
    <w:rsid w:val="003B52E7"/>
    <w:rsid w:val="003B5878"/>
    <w:rsid w:val="003B5931"/>
    <w:rsid w:val="003B5A5F"/>
    <w:rsid w:val="003B5D14"/>
    <w:rsid w:val="003B5D3D"/>
    <w:rsid w:val="003B5F05"/>
    <w:rsid w:val="003B6027"/>
    <w:rsid w:val="003B60E7"/>
    <w:rsid w:val="003B63DD"/>
    <w:rsid w:val="003B6412"/>
    <w:rsid w:val="003B7058"/>
    <w:rsid w:val="003B72B9"/>
    <w:rsid w:val="003B73C6"/>
    <w:rsid w:val="003B7414"/>
    <w:rsid w:val="003B7A38"/>
    <w:rsid w:val="003C03CB"/>
    <w:rsid w:val="003C16FD"/>
    <w:rsid w:val="003C1FEB"/>
    <w:rsid w:val="003C2174"/>
    <w:rsid w:val="003C25BD"/>
    <w:rsid w:val="003C2828"/>
    <w:rsid w:val="003C2984"/>
    <w:rsid w:val="003C2D84"/>
    <w:rsid w:val="003C30FD"/>
    <w:rsid w:val="003C330B"/>
    <w:rsid w:val="003C3426"/>
    <w:rsid w:val="003C390D"/>
    <w:rsid w:val="003C416B"/>
    <w:rsid w:val="003C487B"/>
    <w:rsid w:val="003C4B61"/>
    <w:rsid w:val="003C4E2C"/>
    <w:rsid w:val="003C53CA"/>
    <w:rsid w:val="003C549A"/>
    <w:rsid w:val="003C5930"/>
    <w:rsid w:val="003C5AA2"/>
    <w:rsid w:val="003C5ADB"/>
    <w:rsid w:val="003C5DC6"/>
    <w:rsid w:val="003C5F6B"/>
    <w:rsid w:val="003C6529"/>
    <w:rsid w:val="003C66C8"/>
    <w:rsid w:val="003C675C"/>
    <w:rsid w:val="003C6810"/>
    <w:rsid w:val="003C6AFB"/>
    <w:rsid w:val="003C7169"/>
    <w:rsid w:val="003C720A"/>
    <w:rsid w:val="003C75A6"/>
    <w:rsid w:val="003C779B"/>
    <w:rsid w:val="003C7AB5"/>
    <w:rsid w:val="003D016E"/>
    <w:rsid w:val="003D0EBF"/>
    <w:rsid w:val="003D169B"/>
    <w:rsid w:val="003D1CB1"/>
    <w:rsid w:val="003D2171"/>
    <w:rsid w:val="003D3459"/>
    <w:rsid w:val="003D3A89"/>
    <w:rsid w:val="003D437B"/>
    <w:rsid w:val="003D4603"/>
    <w:rsid w:val="003D4A99"/>
    <w:rsid w:val="003D4B7D"/>
    <w:rsid w:val="003D4D24"/>
    <w:rsid w:val="003D4F01"/>
    <w:rsid w:val="003D5139"/>
    <w:rsid w:val="003D514C"/>
    <w:rsid w:val="003D5229"/>
    <w:rsid w:val="003D5325"/>
    <w:rsid w:val="003D5642"/>
    <w:rsid w:val="003D5678"/>
    <w:rsid w:val="003D5EDB"/>
    <w:rsid w:val="003D67ED"/>
    <w:rsid w:val="003D688D"/>
    <w:rsid w:val="003D6A46"/>
    <w:rsid w:val="003D6D5D"/>
    <w:rsid w:val="003D6FF5"/>
    <w:rsid w:val="003E008F"/>
    <w:rsid w:val="003E03F3"/>
    <w:rsid w:val="003E05BC"/>
    <w:rsid w:val="003E0AFF"/>
    <w:rsid w:val="003E0B5D"/>
    <w:rsid w:val="003E1187"/>
    <w:rsid w:val="003E1312"/>
    <w:rsid w:val="003E153F"/>
    <w:rsid w:val="003E1B75"/>
    <w:rsid w:val="003E1C08"/>
    <w:rsid w:val="003E1E55"/>
    <w:rsid w:val="003E1F9B"/>
    <w:rsid w:val="003E289D"/>
    <w:rsid w:val="003E2A7F"/>
    <w:rsid w:val="003E2B7D"/>
    <w:rsid w:val="003E2DB5"/>
    <w:rsid w:val="003E3182"/>
    <w:rsid w:val="003E320A"/>
    <w:rsid w:val="003E3285"/>
    <w:rsid w:val="003E3BE6"/>
    <w:rsid w:val="003E536D"/>
    <w:rsid w:val="003E5F27"/>
    <w:rsid w:val="003E5FF5"/>
    <w:rsid w:val="003E6017"/>
    <w:rsid w:val="003E6266"/>
    <w:rsid w:val="003E646D"/>
    <w:rsid w:val="003E65F4"/>
    <w:rsid w:val="003E65F9"/>
    <w:rsid w:val="003E68F7"/>
    <w:rsid w:val="003E7AF7"/>
    <w:rsid w:val="003E7B7E"/>
    <w:rsid w:val="003F012E"/>
    <w:rsid w:val="003F02AE"/>
    <w:rsid w:val="003F0B45"/>
    <w:rsid w:val="003F0C18"/>
    <w:rsid w:val="003F16D0"/>
    <w:rsid w:val="003F1800"/>
    <w:rsid w:val="003F1DB3"/>
    <w:rsid w:val="003F1F41"/>
    <w:rsid w:val="003F22F4"/>
    <w:rsid w:val="003F24C4"/>
    <w:rsid w:val="003F35AA"/>
    <w:rsid w:val="003F4016"/>
    <w:rsid w:val="003F4635"/>
    <w:rsid w:val="003F4AE4"/>
    <w:rsid w:val="003F515B"/>
    <w:rsid w:val="003F52A7"/>
    <w:rsid w:val="003F5576"/>
    <w:rsid w:val="003F558D"/>
    <w:rsid w:val="003F58B6"/>
    <w:rsid w:val="003F58CA"/>
    <w:rsid w:val="003F62FE"/>
    <w:rsid w:val="003F6966"/>
    <w:rsid w:val="003F6A00"/>
    <w:rsid w:val="003F6EB8"/>
    <w:rsid w:val="003F70D4"/>
    <w:rsid w:val="003F711A"/>
    <w:rsid w:val="003F7571"/>
    <w:rsid w:val="003F7743"/>
    <w:rsid w:val="003F77FE"/>
    <w:rsid w:val="004008BF"/>
    <w:rsid w:val="00400F6A"/>
    <w:rsid w:val="00401188"/>
    <w:rsid w:val="00401233"/>
    <w:rsid w:val="00401571"/>
    <w:rsid w:val="00401635"/>
    <w:rsid w:val="00401F23"/>
    <w:rsid w:val="00401FED"/>
    <w:rsid w:val="00402122"/>
    <w:rsid w:val="0040258E"/>
    <w:rsid w:val="00402A3E"/>
    <w:rsid w:val="004036BB"/>
    <w:rsid w:val="00403A24"/>
    <w:rsid w:val="00404066"/>
    <w:rsid w:val="00404D37"/>
    <w:rsid w:val="00404D87"/>
    <w:rsid w:val="00404EED"/>
    <w:rsid w:val="0040532D"/>
    <w:rsid w:val="00405EC9"/>
    <w:rsid w:val="004060F3"/>
    <w:rsid w:val="0040686D"/>
    <w:rsid w:val="00406F99"/>
    <w:rsid w:val="0040709C"/>
    <w:rsid w:val="004073B0"/>
    <w:rsid w:val="004074E7"/>
    <w:rsid w:val="0040757C"/>
    <w:rsid w:val="00410891"/>
    <w:rsid w:val="004108E2"/>
    <w:rsid w:val="00410A58"/>
    <w:rsid w:val="00410F25"/>
    <w:rsid w:val="0041113C"/>
    <w:rsid w:val="00411922"/>
    <w:rsid w:val="004119A7"/>
    <w:rsid w:val="00411C16"/>
    <w:rsid w:val="00411C6F"/>
    <w:rsid w:val="004126C0"/>
    <w:rsid w:val="0041389A"/>
    <w:rsid w:val="00413E7D"/>
    <w:rsid w:val="00414043"/>
    <w:rsid w:val="004140B6"/>
    <w:rsid w:val="004141C9"/>
    <w:rsid w:val="00414EF5"/>
    <w:rsid w:val="00414FAD"/>
    <w:rsid w:val="004151CE"/>
    <w:rsid w:val="0041542B"/>
    <w:rsid w:val="00415955"/>
    <w:rsid w:val="00416DBE"/>
    <w:rsid w:val="00416F0F"/>
    <w:rsid w:val="00417314"/>
    <w:rsid w:val="00417368"/>
    <w:rsid w:val="004176F6"/>
    <w:rsid w:val="0041770D"/>
    <w:rsid w:val="00417C2B"/>
    <w:rsid w:val="00417C87"/>
    <w:rsid w:val="004200CA"/>
    <w:rsid w:val="00420258"/>
    <w:rsid w:val="00420CE4"/>
    <w:rsid w:val="00421145"/>
    <w:rsid w:val="00421157"/>
    <w:rsid w:val="00421533"/>
    <w:rsid w:val="00421584"/>
    <w:rsid w:val="0042169D"/>
    <w:rsid w:val="004218DF"/>
    <w:rsid w:val="00422122"/>
    <w:rsid w:val="004226DF"/>
    <w:rsid w:val="00422BEB"/>
    <w:rsid w:val="00422F56"/>
    <w:rsid w:val="00423C1A"/>
    <w:rsid w:val="004240E0"/>
    <w:rsid w:val="004243A4"/>
    <w:rsid w:val="004243CB"/>
    <w:rsid w:val="0042446B"/>
    <w:rsid w:val="004248BF"/>
    <w:rsid w:val="00424BB2"/>
    <w:rsid w:val="00424C58"/>
    <w:rsid w:val="00424F20"/>
    <w:rsid w:val="00425193"/>
    <w:rsid w:val="00425468"/>
    <w:rsid w:val="00425A22"/>
    <w:rsid w:val="00425C05"/>
    <w:rsid w:val="004261C8"/>
    <w:rsid w:val="0042626A"/>
    <w:rsid w:val="0042647B"/>
    <w:rsid w:val="004264E5"/>
    <w:rsid w:val="004268E7"/>
    <w:rsid w:val="00426A3E"/>
    <w:rsid w:val="00426DEB"/>
    <w:rsid w:val="00427455"/>
    <w:rsid w:val="00427BB9"/>
    <w:rsid w:val="00427C16"/>
    <w:rsid w:val="00427C51"/>
    <w:rsid w:val="004304C5"/>
    <w:rsid w:val="0043074E"/>
    <w:rsid w:val="0043075C"/>
    <w:rsid w:val="004308AC"/>
    <w:rsid w:val="00430A3D"/>
    <w:rsid w:val="00430E5A"/>
    <w:rsid w:val="00430FD0"/>
    <w:rsid w:val="00431155"/>
    <w:rsid w:val="004313A8"/>
    <w:rsid w:val="0043165E"/>
    <w:rsid w:val="00431E0E"/>
    <w:rsid w:val="004325E0"/>
    <w:rsid w:val="00432737"/>
    <w:rsid w:val="00432808"/>
    <w:rsid w:val="004330D2"/>
    <w:rsid w:val="0043323B"/>
    <w:rsid w:val="004332C1"/>
    <w:rsid w:val="00433460"/>
    <w:rsid w:val="00433629"/>
    <w:rsid w:val="00433719"/>
    <w:rsid w:val="00433E67"/>
    <w:rsid w:val="0043402C"/>
    <w:rsid w:val="004346B6"/>
    <w:rsid w:val="00434A9D"/>
    <w:rsid w:val="00434D98"/>
    <w:rsid w:val="0043500D"/>
    <w:rsid w:val="0043502B"/>
    <w:rsid w:val="004352AB"/>
    <w:rsid w:val="004361CE"/>
    <w:rsid w:val="00436270"/>
    <w:rsid w:val="00436382"/>
    <w:rsid w:val="004366DC"/>
    <w:rsid w:val="0043681D"/>
    <w:rsid w:val="00436E61"/>
    <w:rsid w:val="00437635"/>
    <w:rsid w:val="004379E8"/>
    <w:rsid w:val="00437B67"/>
    <w:rsid w:val="004403ED"/>
    <w:rsid w:val="004405D7"/>
    <w:rsid w:val="00440706"/>
    <w:rsid w:val="00440E4D"/>
    <w:rsid w:val="00441009"/>
    <w:rsid w:val="0044116C"/>
    <w:rsid w:val="00441528"/>
    <w:rsid w:val="00441B08"/>
    <w:rsid w:val="00441C83"/>
    <w:rsid w:val="00442603"/>
    <w:rsid w:val="004430A6"/>
    <w:rsid w:val="0044333A"/>
    <w:rsid w:val="004433FA"/>
    <w:rsid w:val="00443FE9"/>
    <w:rsid w:val="00444069"/>
    <w:rsid w:val="0044406E"/>
    <w:rsid w:val="00444163"/>
    <w:rsid w:val="00444461"/>
    <w:rsid w:val="0044464D"/>
    <w:rsid w:val="004447C7"/>
    <w:rsid w:val="00444A99"/>
    <w:rsid w:val="004450C0"/>
    <w:rsid w:val="004452C7"/>
    <w:rsid w:val="00445600"/>
    <w:rsid w:val="00445CA6"/>
    <w:rsid w:val="00445D80"/>
    <w:rsid w:val="00445FFF"/>
    <w:rsid w:val="00446AF2"/>
    <w:rsid w:val="00446D61"/>
    <w:rsid w:val="00446F7D"/>
    <w:rsid w:val="00447ECF"/>
    <w:rsid w:val="00447F9A"/>
    <w:rsid w:val="004506E5"/>
    <w:rsid w:val="00450752"/>
    <w:rsid w:val="0045136B"/>
    <w:rsid w:val="00451463"/>
    <w:rsid w:val="00451567"/>
    <w:rsid w:val="00451A6A"/>
    <w:rsid w:val="00451C00"/>
    <w:rsid w:val="00451C07"/>
    <w:rsid w:val="00451DEA"/>
    <w:rsid w:val="00451F6C"/>
    <w:rsid w:val="00452436"/>
    <w:rsid w:val="0045246F"/>
    <w:rsid w:val="0045274D"/>
    <w:rsid w:val="004528C5"/>
    <w:rsid w:val="004528D3"/>
    <w:rsid w:val="004530CF"/>
    <w:rsid w:val="00453386"/>
    <w:rsid w:val="00453462"/>
    <w:rsid w:val="00454058"/>
    <w:rsid w:val="00454BCF"/>
    <w:rsid w:val="00455F93"/>
    <w:rsid w:val="004561FB"/>
    <w:rsid w:val="00456F49"/>
    <w:rsid w:val="00456F73"/>
    <w:rsid w:val="00457654"/>
    <w:rsid w:val="00457954"/>
    <w:rsid w:val="0045795C"/>
    <w:rsid w:val="00457CE6"/>
    <w:rsid w:val="00457D93"/>
    <w:rsid w:val="00460322"/>
    <w:rsid w:val="00460965"/>
    <w:rsid w:val="00460CBA"/>
    <w:rsid w:val="00460CDA"/>
    <w:rsid w:val="00460FF3"/>
    <w:rsid w:val="00461500"/>
    <w:rsid w:val="00461C71"/>
    <w:rsid w:val="00461CF3"/>
    <w:rsid w:val="00461DC3"/>
    <w:rsid w:val="00461DD9"/>
    <w:rsid w:val="00461F98"/>
    <w:rsid w:val="00461FF0"/>
    <w:rsid w:val="0046247B"/>
    <w:rsid w:val="00463B6D"/>
    <w:rsid w:val="00463F25"/>
    <w:rsid w:val="00464004"/>
    <w:rsid w:val="00464101"/>
    <w:rsid w:val="00464539"/>
    <w:rsid w:val="0046466E"/>
    <w:rsid w:val="004649F1"/>
    <w:rsid w:val="00464A43"/>
    <w:rsid w:val="00464D29"/>
    <w:rsid w:val="00464D64"/>
    <w:rsid w:val="00465207"/>
    <w:rsid w:val="004655F6"/>
    <w:rsid w:val="004659AA"/>
    <w:rsid w:val="00465AC0"/>
    <w:rsid w:val="00465EFA"/>
    <w:rsid w:val="00466104"/>
    <w:rsid w:val="00466795"/>
    <w:rsid w:val="00466A01"/>
    <w:rsid w:val="0046751A"/>
    <w:rsid w:val="00467C77"/>
    <w:rsid w:val="004702B1"/>
    <w:rsid w:val="00470691"/>
    <w:rsid w:val="004715F3"/>
    <w:rsid w:val="00472589"/>
    <w:rsid w:val="00472A4E"/>
    <w:rsid w:val="00472BFE"/>
    <w:rsid w:val="00472EA2"/>
    <w:rsid w:val="00472F21"/>
    <w:rsid w:val="0047304C"/>
    <w:rsid w:val="00473555"/>
    <w:rsid w:val="00473576"/>
    <w:rsid w:val="004737E3"/>
    <w:rsid w:val="0047383A"/>
    <w:rsid w:val="00473A04"/>
    <w:rsid w:val="00473A42"/>
    <w:rsid w:val="00473E21"/>
    <w:rsid w:val="00474673"/>
    <w:rsid w:val="004749B3"/>
    <w:rsid w:val="00474C4D"/>
    <w:rsid w:val="0047505A"/>
    <w:rsid w:val="00475BB5"/>
    <w:rsid w:val="00475C37"/>
    <w:rsid w:val="00475F0B"/>
    <w:rsid w:val="00476668"/>
    <w:rsid w:val="00476971"/>
    <w:rsid w:val="00476AD7"/>
    <w:rsid w:val="0047707F"/>
    <w:rsid w:val="004774E6"/>
    <w:rsid w:val="0047793B"/>
    <w:rsid w:val="00477AA6"/>
    <w:rsid w:val="00480BA1"/>
    <w:rsid w:val="00480DA0"/>
    <w:rsid w:val="00480DB9"/>
    <w:rsid w:val="0048198C"/>
    <w:rsid w:val="00481B06"/>
    <w:rsid w:val="00482E90"/>
    <w:rsid w:val="00483301"/>
    <w:rsid w:val="004833AB"/>
    <w:rsid w:val="00483616"/>
    <w:rsid w:val="0048361F"/>
    <w:rsid w:val="004836A6"/>
    <w:rsid w:val="00483804"/>
    <w:rsid w:val="004839D9"/>
    <w:rsid w:val="004840B7"/>
    <w:rsid w:val="0048428C"/>
    <w:rsid w:val="004844F9"/>
    <w:rsid w:val="00484505"/>
    <w:rsid w:val="00484661"/>
    <w:rsid w:val="00484B3C"/>
    <w:rsid w:val="00484BB8"/>
    <w:rsid w:val="00485259"/>
    <w:rsid w:val="00485269"/>
    <w:rsid w:val="00485C3B"/>
    <w:rsid w:val="00485DED"/>
    <w:rsid w:val="00485F7E"/>
    <w:rsid w:val="0048606A"/>
    <w:rsid w:val="00486256"/>
    <w:rsid w:val="004864AB"/>
    <w:rsid w:val="00486712"/>
    <w:rsid w:val="00486AE0"/>
    <w:rsid w:val="004874DB"/>
    <w:rsid w:val="0048788C"/>
    <w:rsid w:val="00490073"/>
    <w:rsid w:val="004901D1"/>
    <w:rsid w:val="004902A2"/>
    <w:rsid w:val="00490391"/>
    <w:rsid w:val="004904F9"/>
    <w:rsid w:val="004908D3"/>
    <w:rsid w:val="00490DDD"/>
    <w:rsid w:val="00490F3B"/>
    <w:rsid w:val="00490FE7"/>
    <w:rsid w:val="004911CA"/>
    <w:rsid w:val="00491214"/>
    <w:rsid w:val="00491730"/>
    <w:rsid w:val="00491B0F"/>
    <w:rsid w:val="004921A3"/>
    <w:rsid w:val="00492415"/>
    <w:rsid w:val="00492506"/>
    <w:rsid w:val="00492C43"/>
    <w:rsid w:val="00492C64"/>
    <w:rsid w:val="00492CF7"/>
    <w:rsid w:val="00493396"/>
    <w:rsid w:val="0049363D"/>
    <w:rsid w:val="00493FAA"/>
    <w:rsid w:val="004940FD"/>
    <w:rsid w:val="00494AC6"/>
    <w:rsid w:val="00494C13"/>
    <w:rsid w:val="00494E5C"/>
    <w:rsid w:val="00495680"/>
    <w:rsid w:val="00495922"/>
    <w:rsid w:val="00495D46"/>
    <w:rsid w:val="00495FA1"/>
    <w:rsid w:val="00495FFD"/>
    <w:rsid w:val="0049611D"/>
    <w:rsid w:val="00496A86"/>
    <w:rsid w:val="00496E52"/>
    <w:rsid w:val="00497206"/>
    <w:rsid w:val="00497615"/>
    <w:rsid w:val="0049772E"/>
    <w:rsid w:val="00497BC2"/>
    <w:rsid w:val="00497E3F"/>
    <w:rsid w:val="004A043D"/>
    <w:rsid w:val="004A07B5"/>
    <w:rsid w:val="004A0ADB"/>
    <w:rsid w:val="004A0D0A"/>
    <w:rsid w:val="004A0EDE"/>
    <w:rsid w:val="004A119A"/>
    <w:rsid w:val="004A1388"/>
    <w:rsid w:val="004A14BA"/>
    <w:rsid w:val="004A1831"/>
    <w:rsid w:val="004A1D13"/>
    <w:rsid w:val="004A1DD3"/>
    <w:rsid w:val="004A2999"/>
    <w:rsid w:val="004A30EA"/>
    <w:rsid w:val="004A390F"/>
    <w:rsid w:val="004A39A8"/>
    <w:rsid w:val="004A43A1"/>
    <w:rsid w:val="004A444E"/>
    <w:rsid w:val="004A4C81"/>
    <w:rsid w:val="004A4E18"/>
    <w:rsid w:val="004A4F46"/>
    <w:rsid w:val="004A5D6D"/>
    <w:rsid w:val="004A6149"/>
    <w:rsid w:val="004A64D7"/>
    <w:rsid w:val="004A64D8"/>
    <w:rsid w:val="004A65E9"/>
    <w:rsid w:val="004A662A"/>
    <w:rsid w:val="004A6A62"/>
    <w:rsid w:val="004A6A65"/>
    <w:rsid w:val="004A6C65"/>
    <w:rsid w:val="004A713A"/>
    <w:rsid w:val="004A75F1"/>
    <w:rsid w:val="004A76CA"/>
    <w:rsid w:val="004A7807"/>
    <w:rsid w:val="004A7D2B"/>
    <w:rsid w:val="004A7EB6"/>
    <w:rsid w:val="004B011A"/>
    <w:rsid w:val="004B0482"/>
    <w:rsid w:val="004B070D"/>
    <w:rsid w:val="004B0867"/>
    <w:rsid w:val="004B0AC2"/>
    <w:rsid w:val="004B0C78"/>
    <w:rsid w:val="004B0F29"/>
    <w:rsid w:val="004B1355"/>
    <w:rsid w:val="004B1514"/>
    <w:rsid w:val="004B1BB2"/>
    <w:rsid w:val="004B1D45"/>
    <w:rsid w:val="004B1FBE"/>
    <w:rsid w:val="004B2258"/>
    <w:rsid w:val="004B2291"/>
    <w:rsid w:val="004B2DAD"/>
    <w:rsid w:val="004B2DAE"/>
    <w:rsid w:val="004B2F87"/>
    <w:rsid w:val="004B32A9"/>
    <w:rsid w:val="004B3571"/>
    <w:rsid w:val="004B381A"/>
    <w:rsid w:val="004B3932"/>
    <w:rsid w:val="004B39C5"/>
    <w:rsid w:val="004B3AFD"/>
    <w:rsid w:val="004B40BF"/>
    <w:rsid w:val="004B44A2"/>
    <w:rsid w:val="004B4A11"/>
    <w:rsid w:val="004B4A35"/>
    <w:rsid w:val="004B4CE7"/>
    <w:rsid w:val="004B4FC7"/>
    <w:rsid w:val="004B50CD"/>
    <w:rsid w:val="004B57A4"/>
    <w:rsid w:val="004B5947"/>
    <w:rsid w:val="004B5D01"/>
    <w:rsid w:val="004B628C"/>
    <w:rsid w:val="004B66CB"/>
    <w:rsid w:val="004B6EEE"/>
    <w:rsid w:val="004B6F09"/>
    <w:rsid w:val="004B7005"/>
    <w:rsid w:val="004B7442"/>
    <w:rsid w:val="004B769F"/>
    <w:rsid w:val="004C06B9"/>
    <w:rsid w:val="004C0705"/>
    <w:rsid w:val="004C0EAE"/>
    <w:rsid w:val="004C10B0"/>
    <w:rsid w:val="004C15D1"/>
    <w:rsid w:val="004C1695"/>
    <w:rsid w:val="004C196A"/>
    <w:rsid w:val="004C1AF1"/>
    <w:rsid w:val="004C1C90"/>
    <w:rsid w:val="004C1FF1"/>
    <w:rsid w:val="004C242D"/>
    <w:rsid w:val="004C2628"/>
    <w:rsid w:val="004C2A33"/>
    <w:rsid w:val="004C2AC5"/>
    <w:rsid w:val="004C3A8C"/>
    <w:rsid w:val="004C3DA8"/>
    <w:rsid w:val="004C417A"/>
    <w:rsid w:val="004C44CC"/>
    <w:rsid w:val="004C4746"/>
    <w:rsid w:val="004C47B0"/>
    <w:rsid w:val="004C4FFB"/>
    <w:rsid w:val="004C59F6"/>
    <w:rsid w:val="004C5D0B"/>
    <w:rsid w:val="004C5E88"/>
    <w:rsid w:val="004C629D"/>
    <w:rsid w:val="004C65C6"/>
    <w:rsid w:val="004C6A5F"/>
    <w:rsid w:val="004C6EE0"/>
    <w:rsid w:val="004C75C7"/>
    <w:rsid w:val="004C75F7"/>
    <w:rsid w:val="004C769E"/>
    <w:rsid w:val="004D0069"/>
    <w:rsid w:val="004D0759"/>
    <w:rsid w:val="004D08E4"/>
    <w:rsid w:val="004D097A"/>
    <w:rsid w:val="004D0C1B"/>
    <w:rsid w:val="004D0F1D"/>
    <w:rsid w:val="004D1374"/>
    <w:rsid w:val="004D198D"/>
    <w:rsid w:val="004D1D4A"/>
    <w:rsid w:val="004D2036"/>
    <w:rsid w:val="004D2077"/>
    <w:rsid w:val="004D2216"/>
    <w:rsid w:val="004D2417"/>
    <w:rsid w:val="004D256D"/>
    <w:rsid w:val="004D25BD"/>
    <w:rsid w:val="004D25E1"/>
    <w:rsid w:val="004D29C6"/>
    <w:rsid w:val="004D2B54"/>
    <w:rsid w:val="004D2BAF"/>
    <w:rsid w:val="004D2D04"/>
    <w:rsid w:val="004D2E23"/>
    <w:rsid w:val="004D2EF7"/>
    <w:rsid w:val="004D322C"/>
    <w:rsid w:val="004D354A"/>
    <w:rsid w:val="004D3CD8"/>
    <w:rsid w:val="004D3ECB"/>
    <w:rsid w:val="004D42F8"/>
    <w:rsid w:val="004D47B0"/>
    <w:rsid w:val="004D4A5C"/>
    <w:rsid w:val="004D4BC6"/>
    <w:rsid w:val="004D51AF"/>
    <w:rsid w:val="004D53C8"/>
    <w:rsid w:val="004D550F"/>
    <w:rsid w:val="004D5583"/>
    <w:rsid w:val="004D55F4"/>
    <w:rsid w:val="004D57E2"/>
    <w:rsid w:val="004D5A00"/>
    <w:rsid w:val="004D6871"/>
    <w:rsid w:val="004D68A8"/>
    <w:rsid w:val="004D6AF4"/>
    <w:rsid w:val="004D7069"/>
    <w:rsid w:val="004D7120"/>
    <w:rsid w:val="004D7470"/>
    <w:rsid w:val="004D78BF"/>
    <w:rsid w:val="004D7C4F"/>
    <w:rsid w:val="004D7C9D"/>
    <w:rsid w:val="004D7CDA"/>
    <w:rsid w:val="004D7EDC"/>
    <w:rsid w:val="004E0149"/>
    <w:rsid w:val="004E02A4"/>
    <w:rsid w:val="004E03E3"/>
    <w:rsid w:val="004E07C9"/>
    <w:rsid w:val="004E0BBE"/>
    <w:rsid w:val="004E15DC"/>
    <w:rsid w:val="004E17D0"/>
    <w:rsid w:val="004E19A8"/>
    <w:rsid w:val="004E270C"/>
    <w:rsid w:val="004E38E8"/>
    <w:rsid w:val="004E4C0A"/>
    <w:rsid w:val="004E4D3F"/>
    <w:rsid w:val="004E4EBB"/>
    <w:rsid w:val="004E51AC"/>
    <w:rsid w:val="004E53B0"/>
    <w:rsid w:val="004E55F1"/>
    <w:rsid w:val="004E5616"/>
    <w:rsid w:val="004E64E3"/>
    <w:rsid w:val="004E6886"/>
    <w:rsid w:val="004E68A7"/>
    <w:rsid w:val="004E6F0F"/>
    <w:rsid w:val="004E708D"/>
    <w:rsid w:val="004E729A"/>
    <w:rsid w:val="004E754A"/>
    <w:rsid w:val="004E792A"/>
    <w:rsid w:val="004E7A89"/>
    <w:rsid w:val="004F05E7"/>
    <w:rsid w:val="004F08F7"/>
    <w:rsid w:val="004F08F9"/>
    <w:rsid w:val="004F0EF8"/>
    <w:rsid w:val="004F1378"/>
    <w:rsid w:val="004F1B40"/>
    <w:rsid w:val="004F1BE6"/>
    <w:rsid w:val="004F1FD1"/>
    <w:rsid w:val="004F255D"/>
    <w:rsid w:val="004F259D"/>
    <w:rsid w:val="004F279A"/>
    <w:rsid w:val="004F292C"/>
    <w:rsid w:val="004F2CE6"/>
    <w:rsid w:val="004F2D08"/>
    <w:rsid w:val="004F3383"/>
    <w:rsid w:val="004F38B6"/>
    <w:rsid w:val="004F3D36"/>
    <w:rsid w:val="004F3DD4"/>
    <w:rsid w:val="004F411C"/>
    <w:rsid w:val="004F4146"/>
    <w:rsid w:val="004F4391"/>
    <w:rsid w:val="004F4408"/>
    <w:rsid w:val="004F4875"/>
    <w:rsid w:val="004F50A4"/>
    <w:rsid w:val="004F5121"/>
    <w:rsid w:val="004F5598"/>
    <w:rsid w:val="004F57ED"/>
    <w:rsid w:val="004F5BA9"/>
    <w:rsid w:val="004F600F"/>
    <w:rsid w:val="004F65B0"/>
    <w:rsid w:val="004F66BF"/>
    <w:rsid w:val="004F69DB"/>
    <w:rsid w:val="004F6B1E"/>
    <w:rsid w:val="004F6B2F"/>
    <w:rsid w:val="004F6DF7"/>
    <w:rsid w:val="004F6FC9"/>
    <w:rsid w:val="004F75BB"/>
    <w:rsid w:val="004F7ADB"/>
    <w:rsid w:val="00500056"/>
    <w:rsid w:val="0050044E"/>
    <w:rsid w:val="005008F7"/>
    <w:rsid w:val="00500C58"/>
    <w:rsid w:val="00501269"/>
    <w:rsid w:val="00501544"/>
    <w:rsid w:val="005017E0"/>
    <w:rsid w:val="00501834"/>
    <w:rsid w:val="00501A3D"/>
    <w:rsid w:val="00501A81"/>
    <w:rsid w:val="005022B5"/>
    <w:rsid w:val="00502516"/>
    <w:rsid w:val="005029C1"/>
    <w:rsid w:val="00502D9B"/>
    <w:rsid w:val="00503550"/>
    <w:rsid w:val="00503ABF"/>
    <w:rsid w:val="00503AD6"/>
    <w:rsid w:val="00503D62"/>
    <w:rsid w:val="00504339"/>
    <w:rsid w:val="005047D0"/>
    <w:rsid w:val="005049E6"/>
    <w:rsid w:val="00504B1F"/>
    <w:rsid w:val="00504C1E"/>
    <w:rsid w:val="005050DE"/>
    <w:rsid w:val="00505364"/>
    <w:rsid w:val="00505602"/>
    <w:rsid w:val="00505C25"/>
    <w:rsid w:val="00506627"/>
    <w:rsid w:val="00506C38"/>
    <w:rsid w:val="00506F08"/>
    <w:rsid w:val="00507122"/>
    <w:rsid w:val="00507718"/>
    <w:rsid w:val="00510520"/>
    <w:rsid w:val="00510AA4"/>
    <w:rsid w:val="00511EA3"/>
    <w:rsid w:val="00512C6C"/>
    <w:rsid w:val="005132F6"/>
    <w:rsid w:val="0051354C"/>
    <w:rsid w:val="005136A1"/>
    <w:rsid w:val="00514290"/>
    <w:rsid w:val="00514378"/>
    <w:rsid w:val="005149C5"/>
    <w:rsid w:val="00514B04"/>
    <w:rsid w:val="00514EAF"/>
    <w:rsid w:val="005162A5"/>
    <w:rsid w:val="0051644C"/>
    <w:rsid w:val="00516681"/>
    <w:rsid w:val="005166ED"/>
    <w:rsid w:val="00516754"/>
    <w:rsid w:val="00516CE2"/>
    <w:rsid w:val="00516E43"/>
    <w:rsid w:val="00516E7B"/>
    <w:rsid w:val="00517804"/>
    <w:rsid w:val="00520081"/>
    <w:rsid w:val="00520104"/>
    <w:rsid w:val="005203EE"/>
    <w:rsid w:val="005218F3"/>
    <w:rsid w:val="0052215B"/>
    <w:rsid w:val="005222BE"/>
    <w:rsid w:val="00522A88"/>
    <w:rsid w:val="00522FF1"/>
    <w:rsid w:val="00523557"/>
    <w:rsid w:val="00523E8D"/>
    <w:rsid w:val="005242D5"/>
    <w:rsid w:val="00524305"/>
    <w:rsid w:val="0052439A"/>
    <w:rsid w:val="00524589"/>
    <w:rsid w:val="00524653"/>
    <w:rsid w:val="005246A0"/>
    <w:rsid w:val="005246B7"/>
    <w:rsid w:val="00524CBA"/>
    <w:rsid w:val="00524FEC"/>
    <w:rsid w:val="005253DF"/>
    <w:rsid w:val="005259F2"/>
    <w:rsid w:val="00525E6C"/>
    <w:rsid w:val="00526223"/>
    <w:rsid w:val="0052663D"/>
    <w:rsid w:val="00526C76"/>
    <w:rsid w:val="00526E4D"/>
    <w:rsid w:val="005270D0"/>
    <w:rsid w:val="00527D01"/>
    <w:rsid w:val="00527D3E"/>
    <w:rsid w:val="00527F93"/>
    <w:rsid w:val="00530045"/>
    <w:rsid w:val="005303A3"/>
    <w:rsid w:val="00530466"/>
    <w:rsid w:val="00530509"/>
    <w:rsid w:val="00530E2D"/>
    <w:rsid w:val="00530FFF"/>
    <w:rsid w:val="00531100"/>
    <w:rsid w:val="00531B67"/>
    <w:rsid w:val="00532075"/>
    <w:rsid w:val="0053218D"/>
    <w:rsid w:val="00532413"/>
    <w:rsid w:val="0053268B"/>
    <w:rsid w:val="0053271E"/>
    <w:rsid w:val="00532C0B"/>
    <w:rsid w:val="0053349B"/>
    <w:rsid w:val="00533A95"/>
    <w:rsid w:val="00534810"/>
    <w:rsid w:val="00534A2E"/>
    <w:rsid w:val="00535041"/>
    <w:rsid w:val="005362E1"/>
    <w:rsid w:val="00536DC9"/>
    <w:rsid w:val="00536F00"/>
    <w:rsid w:val="00536FF7"/>
    <w:rsid w:val="00537A02"/>
    <w:rsid w:val="005405D6"/>
    <w:rsid w:val="00540877"/>
    <w:rsid w:val="0054096E"/>
    <w:rsid w:val="00540CAA"/>
    <w:rsid w:val="005419EA"/>
    <w:rsid w:val="00541C0C"/>
    <w:rsid w:val="00541EAA"/>
    <w:rsid w:val="005421D3"/>
    <w:rsid w:val="00542318"/>
    <w:rsid w:val="00542364"/>
    <w:rsid w:val="00542485"/>
    <w:rsid w:val="005426EA"/>
    <w:rsid w:val="00542842"/>
    <w:rsid w:val="00542B1E"/>
    <w:rsid w:val="00542ECD"/>
    <w:rsid w:val="0054389E"/>
    <w:rsid w:val="00543B21"/>
    <w:rsid w:val="00543C87"/>
    <w:rsid w:val="00544156"/>
    <w:rsid w:val="005444A4"/>
    <w:rsid w:val="0054481F"/>
    <w:rsid w:val="00544985"/>
    <w:rsid w:val="005449F0"/>
    <w:rsid w:val="00545D87"/>
    <w:rsid w:val="00545F40"/>
    <w:rsid w:val="00546013"/>
    <w:rsid w:val="00546061"/>
    <w:rsid w:val="0054633D"/>
    <w:rsid w:val="00546A7E"/>
    <w:rsid w:val="00547948"/>
    <w:rsid w:val="005503F7"/>
    <w:rsid w:val="00552190"/>
    <w:rsid w:val="00552AFC"/>
    <w:rsid w:val="00553053"/>
    <w:rsid w:val="005531C1"/>
    <w:rsid w:val="005539C0"/>
    <w:rsid w:val="00553F0F"/>
    <w:rsid w:val="00554092"/>
    <w:rsid w:val="00554205"/>
    <w:rsid w:val="0055505A"/>
    <w:rsid w:val="0055528C"/>
    <w:rsid w:val="00555662"/>
    <w:rsid w:val="00555765"/>
    <w:rsid w:val="00555FDF"/>
    <w:rsid w:val="00556031"/>
    <w:rsid w:val="005563A3"/>
    <w:rsid w:val="005568EB"/>
    <w:rsid w:val="005569D0"/>
    <w:rsid w:val="00556A60"/>
    <w:rsid w:val="00556BD4"/>
    <w:rsid w:val="00556F15"/>
    <w:rsid w:val="00557994"/>
    <w:rsid w:val="005602C8"/>
    <w:rsid w:val="0056162F"/>
    <w:rsid w:val="005617E2"/>
    <w:rsid w:val="005619E8"/>
    <w:rsid w:val="00561CB7"/>
    <w:rsid w:val="005621A2"/>
    <w:rsid w:val="005623CC"/>
    <w:rsid w:val="00563234"/>
    <w:rsid w:val="0056364F"/>
    <w:rsid w:val="0056369B"/>
    <w:rsid w:val="00563C62"/>
    <w:rsid w:val="005641FE"/>
    <w:rsid w:val="00564554"/>
    <w:rsid w:val="00564847"/>
    <w:rsid w:val="00564BAA"/>
    <w:rsid w:val="00564D84"/>
    <w:rsid w:val="005652C2"/>
    <w:rsid w:val="005652DA"/>
    <w:rsid w:val="00565672"/>
    <w:rsid w:val="0056570F"/>
    <w:rsid w:val="00565782"/>
    <w:rsid w:val="005657D8"/>
    <w:rsid w:val="00565B29"/>
    <w:rsid w:val="005663AF"/>
    <w:rsid w:val="005668D6"/>
    <w:rsid w:val="00566C68"/>
    <w:rsid w:val="00567629"/>
    <w:rsid w:val="005676EB"/>
    <w:rsid w:val="005678F8"/>
    <w:rsid w:val="005679C8"/>
    <w:rsid w:val="00567B44"/>
    <w:rsid w:val="0057058E"/>
    <w:rsid w:val="005706E6"/>
    <w:rsid w:val="005708CA"/>
    <w:rsid w:val="005721EB"/>
    <w:rsid w:val="0057227C"/>
    <w:rsid w:val="005722E9"/>
    <w:rsid w:val="0057230B"/>
    <w:rsid w:val="0057253E"/>
    <w:rsid w:val="005725E9"/>
    <w:rsid w:val="00572F3C"/>
    <w:rsid w:val="005730DF"/>
    <w:rsid w:val="00573102"/>
    <w:rsid w:val="0057378C"/>
    <w:rsid w:val="00573956"/>
    <w:rsid w:val="00573E73"/>
    <w:rsid w:val="0057458B"/>
    <w:rsid w:val="005745FA"/>
    <w:rsid w:val="00574B82"/>
    <w:rsid w:val="00574E73"/>
    <w:rsid w:val="005755CF"/>
    <w:rsid w:val="00575938"/>
    <w:rsid w:val="00575945"/>
    <w:rsid w:val="00575F83"/>
    <w:rsid w:val="00576C5F"/>
    <w:rsid w:val="0057710C"/>
    <w:rsid w:val="005775BE"/>
    <w:rsid w:val="0057778F"/>
    <w:rsid w:val="00577978"/>
    <w:rsid w:val="00577F36"/>
    <w:rsid w:val="005801F8"/>
    <w:rsid w:val="005809D5"/>
    <w:rsid w:val="0058155B"/>
    <w:rsid w:val="0058164D"/>
    <w:rsid w:val="00581FDA"/>
    <w:rsid w:val="00582F2B"/>
    <w:rsid w:val="005830A0"/>
    <w:rsid w:val="00583909"/>
    <w:rsid w:val="0058390B"/>
    <w:rsid w:val="00583963"/>
    <w:rsid w:val="00583AE4"/>
    <w:rsid w:val="00583DEB"/>
    <w:rsid w:val="0058441C"/>
    <w:rsid w:val="00584725"/>
    <w:rsid w:val="005847D8"/>
    <w:rsid w:val="005849B3"/>
    <w:rsid w:val="005849E3"/>
    <w:rsid w:val="00584DEF"/>
    <w:rsid w:val="005855E7"/>
    <w:rsid w:val="00585736"/>
    <w:rsid w:val="00586049"/>
    <w:rsid w:val="00586847"/>
    <w:rsid w:val="00586952"/>
    <w:rsid w:val="00586B8A"/>
    <w:rsid w:val="00586CA8"/>
    <w:rsid w:val="0058719E"/>
    <w:rsid w:val="005872BD"/>
    <w:rsid w:val="00587908"/>
    <w:rsid w:val="00587C73"/>
    <w:rsid w:val="00587E09"/>
    <w:rsid w:val="00590221"/>
    <w:rsid w:val="0059065F"/>
    <w:rsid w:val="00590DC7"/>
    <w:rsid w:val="00591325"/>
    <w:rsid w:val="00591715"/>
    <w:rsid w:val="00591A77"/>
    <w:rsid w:val="00591D89"/>
    <w:rsid w:val="00591F6F"/>
    <w:rsid w:val="00592237"/>
    <w:rsid w:val="00592680"/>
    <w:rsid w:val="005927E9"/>
    <w:rsid w:val="005928BF"/>
    <w:rsid w:val="0059296D"/>
    <w:rsid w:val="00592FB7"/>
    <w:rsid w:val="005930C2"/>
    <w:rsid w:val="005939C9"/>
    <w:rsid w:val="00593ACB"/>
    <w:rsid w:val="00593B50"/>
    <w:rsid w:val="00593F88"/>
    <w:rsid w:val="0059402A"/>
    <w:rsid w:val="00594BCE"/>
    <w:rsid w:val="00596009"/>
    <w:rsid w:val="00596367"/>
    <w:rsid w:val="00596D24"/>
    <w:rsid w:val="0059704F"/>
    <w:rsid w:val="00597B7F"/>
    <w:rsid w:val="00597C1F"/>
    <w:rsid w:val="005A043D"/>
    <w:rsid w:val="005A05EC"/>
    <w:rsid w:val="005A072F"/>
    <w:rsid w:val="005A08F7"/>
    <w:rsid w:val="005A0AA5"/>
    <w:rsid w:val="005A1479"/>
    <w:rsid w:val="005A16FC"/>
    <w:rsid w:val="005A1B96"/>
    <w:rsid w:val="005A25BF"/>
    <w:rsid w:val="005A27DA"/>
    <w:rsid w:val="005A29EF"/>
    <w:rsid w:val="005A2A55"/>
    <w:rsid w:val="005A2CAD"/>
    <w:rsid w:val="005A2D2A"/>
    <w:rsid w:val="005A3208"/>
    <w:rsid w:val="005A3416"/>
    <w:rsid w:val="005A353E"/>
    <w:rsid w:val="005A37F2"/>
    <w:rsid w:val="005A434A"/>
    <w:rsid w:val="005A4552"/>
    <w:rsid w:val="005A473D"/>
    <w:rsid w:val="005A47AC"/>
    <w:rsid w:val="005A4E8E"/>
    <w:rsid w:val="005A53A3"/>
    <w:rsid w:val="005A5483"/>
    <w:rsid w:val="005A5C5E"/>
    <w:rsid w:val="005A5E77"/>
    <w:rsid w:val="005A612C"/>
    <w:rsid w:val="005A6614"/>
    <w:rsid w:val="005A68E7"/>
    <w:rsid w:val="005A68F9"/>
    <w:rsid w:val="005A6C50"/>
    <w:rsid w:val="005A6C86"/>
    <w:rsid w:val="005A78CA"/>
    <w:rsid w:val="005A7946"/>
    <w:rsid w:val="005A79B6"/>
    <w:rsid w:val="005A7A63"/>
    <w:rsid w:val="005A7E20"/>
    <w:rsid w:val="005B045E"/>
    <w:rsid w:val="005B0F7A"/>
    <w:rsid w:val="005B1183"/>
    <w:rsid w:val="005B149C"/>
    <w:rsid w:val="005B159F"/>
    <w:rsid w:val="005B1728"/>
    <w:rsid w:val="005B1A6E"/>
    <w:rsid w:val="005B2341"/>
    <w:rsid w:val="005B28AB"/>
    <w:rsid w:val="005B2968"/>
    <w:rsid w:val="005B2992"/>
    <w:rsid w:val="005B3048"/>
    <w:rsid w:val="005B321D"/>
    <w:rsid w:val="005B332A"/>
    <w:rsid w:val="005B3351"/>
    <w:rsid w:val="005B48A5"/>
    <w:rsid w:val="005B5B33"/>
    <w:rsid w:val="005B5E0F"/>
    <w:rsid w:val="005B6191"/>
    <w:rsid w:val="005B647F"/>
    <w:rsid w:val="005B6632"/>
    <w:rsid w:val="005B6706"/>
    <w:rsid w:val="005B7274"/>
    <w:rsid w:val="005B7830"/>
    <w:rsid w:val="005B7ACF"/>
    <w:rsid w:val="005B7AF8"/>
    <w:rsid w:val="005C00B4"/>
    <w:rsid w:val="005C0436"/>
    <w:rsid w:val="005C0977"/>
    <w:rsid w:val="005C0C95"/>
    <w:rsid w:val="005C1280"/>
    <w:rsid w:val="005C1F29"/>
    <w:rsid w:val="005C2C4E"/>
    <w:rsid w:val="005C2C88"/>
    <w:rsid w:val="005C328F"/>
    <w:rsid w:val="005C3551"/>
    <w:rsid w:val="005C3658"/>
    <w:rsid w:val="005C371D"/>
    <w:rsid w:val="005C3E88"/>
    <w:rsid w:val="005C45A7"/>
    <w:rsid w:val="005C4E52"/>
    <w:rsid w:val="005C4EBF"/>
    <w:rsid w:val="005C5E3D"/>
    <w:rsid w:val="005C621C"/>
    <w:rsid w:val="005C67C8"/>
    <w:rsid w:val="005C78FD"/>
    <w:rsid w:val="005C7916"/>
    <w:rsid w:val="005D0DE8"/>
    <w:rsid w:val="005D1275"/>
    <w:rsid w:val="005D13F8"/>
    <w:rsid w:val="005D1712"/>
    <w:rsid w:val="005D186A"/>
    <w:rsid w:val="005D221A"/>
    <w:rsid w:val="005D3609"/>
    <w:rsid w:val="005D36FE"/>
    <w:rsid w:val="005D3783"/>
    <w:rsid w:val="005D3E14"/>
    <w:rsid w:val="005D43DE"/>
    <w:rsid w:val="005D489B"/>
    <w:rsid w:val="005D4935"/>
    <w:rsid w:val="005D4A0D"/>
    <w:rsid w:val="005D5134"/>
    <w:rsid w:val="005D597B"/>
    <w:rsid w:val="005D59A0"/>
    <w:rsid w:val="005D6773"/>
    <w:rsid w:val="005D681E"/>
    <w:rsid w:val="005D6A61"/>
    <w:rsid w:val="005D6B4A"/>
    <w:rsid w:val="005D6B7A"/>
    <w:rsid w:val="005D6F43"/>
    <w:rsid w:val="005D6F71"/>
    <w:rsid w:val="005D7A0D"/>
    <w:rsid w:val="005D7BB2"/>
    <w:rsid w:val="005D7F1E"/>
    <w:rsid w:val="005E0A4F"/>
    <w:rsid w:val="005E15ED"/>
    <w:rsid w:val="005E18A3"/>
    <w:rsid w:val="005E1C0C"/>
    <w:rsid w:val="005E27C4"/>
    <w:rsid w:val="005E2976"/>
    <w:rsid w:val="005E2FB3"/>
    <w:rsid w:val="005E3256"/>
    <w:rsid w:val="005E3787"/>
    <w:rsid w:val="005E3A79"/>
    <w:rsid w:val="005E3B0B"/>
    <w:rsid w:val="005E3C3D"/>
    <w:rsid w:val="005E3DBC"/>
    <w:rsid w:val="005E3F05"/>
    <w:rsid w:val="005E3FAD"/>
    <w:rsid w:val="005E401A"/>
    <w:rsid w:val="005E4A33"/>
    <w:rsid w:val="005E4C4A"/>
    <w:rsid w:val="005E56BF"/>
    <w:rsid w:val="005E5821"/>
    <w:rsid w:val="005E5CD8"/>
    <w:rsid w:val="005E5D91"/>
    <w:rsid w:val="005E618D"/>
    <w:rsid w:val="005E6717"/>
    <w:rsid w:val="005E73A1"/>
    <w:rsid w:val="005E7B34"/>
    <w:rsid w:val="005F0290"/>
    <w:rsid w:val="005F05DC"/>
    <w:rsid w:val="005F065F"/>
    <w:rsid w:val="005F077D"/>
    <w:rsid w:val="005F086D"/>
    <w:rsid w:val="005F1CFF"/>
    <w:rsid w:val="005F1EE9"/>
    <w:rsid w:val="005F21A4"/>
    <w:rsid w:val="005F2A16"/>
    <w:rsid w:val="005F2A7C"/>
    <w:rsid w:val="005F2EAB"/>
    <w:rsid w:val="005F2F0B"/>
    <w:rsid w:val="005F364B"/>
    <w:rsid w:val="005F43F3"/>
    <w:rsid w:val="005F4564"/>
    <w:rsid w:val="005F49B8"/>
    <w:rsid w:val="005F64C8"/>
    <w:rsid w:val="005F6707"/>
    <w:rsid w:val="005F69EC"/>
    <w:rsid w:val="005F69FE"/>
    <w:rsid w:val="005F6DE5"/>
    <w:rsid w:val="005F707D"/>
    <w:rsid w:val="005F707F"/>
    <w:rsid w:val="005F72DD"/>
    <w:rsid w:val="005F7449"/>
    <w:rsid w:val="005F767A"/>
    <w:rsid w:val="005F78F4"/>
    <w:rsid w:val="005F7B47"/>
    <w:rsid w:val="005F7D8F"/>
    <w:rsid w:val="006007FC"/>
    <w:rsid w:val="006009DE"/>
    <w:rsid w:val="00600B43"/>
    <w:rsid w:val="00600BFD"/>
    <w:rsid w:val="0060131E"/>
    <w:rsid w:val="006015D5"/>
    <w:rsid w:val="00601E62"/>
    <w:rsid w:val="006020A6"/>
    <w:rsid w:val="006024E4"/>
    <w:rsid w:val="006026D7"/>
    <w:rsid w:val="0060295D"/>
    <w:rsid w:val="00602FA3"/>
    <w:rsid w:val="0060311D"/>
    <w:rsid w:val="0060320B"/>
    <w:rsid w:val="00603AFB"/>
    <w:rsid w:val="00603ED5"/>
    <w:rsid w:val="00604051"/>
    <w:rsid w:val="00604C78"/>
    <w:rsid w:val="00604D4C"/>
    <w:rsid w:val="00604F07"/>
    <w:rsid w:val="00605774"/>
    <w:rsid w:val="00605E0A"/>
    <w:rsid w:val="006065B4"/>
    <w:rsid w:val="00606686"/>
    <w:rsid w:val="0060668D"/>
    <w:rsid w:val="006067DF"/>
    <w:rsid w:val="00606FB2"/>
    <w:rsid w:val="00607025"/>
    <w:rsid w:val="006070DA"/>
    <w:rsid w:val="0060737E"/>
    <w:rsid w:val="0060754F"/>
    <w:rsid w:val="00607562"/>
    <w:rsid w:val="006079B0"/>
    <w:rsid w:val="0061068A"/>
    <w:rsid w:val="006107B9"/>
    <w:rsid w:val="00610996"/>
    <w:rsid w:val="00611092"/>
    <w:rsid w:val="006110A7"/>
    <w:rsid w:val="00611BE1"/>
    <w:rsid w:val="00611D08"/>
    <w:rsid w:val="00612767"/>
    <w:rsid w:val="00612AC4"/>
    <w:rsid w:val="00612BEC"/>
    <w:rsid w:val="00612DEE"/>
    <w:rsid w:val="006132EA"/>
    <w:rsid w:val="00613524"/>
    <w:rsid w:val="006136B2"/>
    <w:rsid w:val="00613713"/>
    <w:rsid w:val="00613871"/>
    <w:rsid w:val="00613C73"/>
    <w:rsid w:val="00613CAD"/>
    <w:rsid w:val="006141F9"/>
    <w:rsid w:val="0061477F"/>
    <w:rsid w:val="00614D2C"/>
    <w:rsid w:val="00615943"/>
    <w:rsid w:val="00615B2D"/>
    <w:rsid w:val="00615E84"/>
    <w:rsid w:val="00615EDC"/>
    <w:rsid w:val="00616268"/>
    <w:rsid w:val="00616DA1"/>
    <w:rsid w:val="00617593"/>
    <w:rsid w:val="0061783A"/>
    <w:rsid w:val="0061794A"/>
    <w:rsid w:val="00617CB7"/>
    <w:rsid w:val="00620407"/>
    <w:rsid w:val="00620705"/>
    <w:rsid w:val="00620E70"/>
    <w:rsid w:val="00621390"/>
    <w:rsid w:val="00621850"/>
    <w:rsid w:val="0062190E"/>
    <w:rsid w:val="00621EA1"/>
    <w:rsid w:val="00621F9F"/>
    <w:rsid w:val="00621FF4"/>
    <w:rsid w:val="0062230B"/>
    <w:rsid w:val="00622541"/>
    <w:rsid w:val="00622950"/>
    <w:rsid w:val="00622ADE"/>
    <w:rsid w:val="0062388B"/>
    <w:rsid w:val="00623994"/>
    <w:rsid w:val="00623E46"/>
    <w:rsid w:val="00623E5F"/>
    <w:rsid w:val="0062466F"/>
    <w:rsid w:val="00624E3A"/>
    <w:rsid w:val="00625036"/>
    <w:rsid w:val="0062515E"/>
    <w:rsid w:val="00625974"/>
    <w:rsid w:val="00625B39"/>
    <w:rsid w:val="00626256"/>
    <w:rsid w:val="006262B5"/>
    <w:rsid w:val="006263D8"/>
    <w:rsid w:val="00626A4E"/>
    <w:rsid w:val="00626ED4"/>
    <w:rsid w:val="00627050"/>
    <w:rsid w:val="0062709D"/>
    <w:rsid w:val="0062723C"/>
    <w:rsid w:val="006273A3"/>
    <w:rsid w:val="006275FA"/>
    <w:rsid w:val="0062774F"/>
    <w:rsid w:val="00630923"/>
    <w:rsid w:val="00630BB4"/>
    <w:rsid w:val="00630C2C"/>
    <w:rsid w:val="00630E02"/>
    <w:rsid w:val="0063101B"/>
    <w:rsid w:val="006310B9"/>
    <w:rsid w:val="006311D8"/>
    <w:rsid w:val="00631B3A"/>
    <w:rsid w:val="00631FF3"/>
    <w:rsid w:val="0063209D"/>
    <w:rsid w:val="006320FC"/>
    <w:rsid w:val="0063218A"/>
    <w:rsid w:val="00632315"/>
    <w:rsid w:val="00632383"/>
    <w:rsid w:val="00632553"/>
    <w:rsid w:val="00632BA7"/>
    <w:rsid w:val="00632C00"/>
    <w:rsid w:val="00632ECC"/>
    <w:rsid w:val="00633E0F"/>
    <w:rsid w:val="0063434D"/>
    <w:rsid w:val="006345DD"/>
    <w:rsid w:val="00634E6A"/>
    <w:rsid w:val="00635257"/>
    <w:rsid w:val="006353F6"/>
    <w:rsid w:val="00635B42"/>
    <w:rsid w:val="00636628"/>
    <w:rsid w:val="0063668C"/>
    <w:rsid w:val="006369D7"/>
    <w:rsid w:val="00636B10"/>
    <w:rsid w:val="006374E3"/>
    <w:rsid w:val="00637587"/>
    <w:rsid w:val="006379FB"/>
    <w:rsid w:val="00637D47"/>
    <w:rsid w:val="00637DD0"/>
    <w:rsid w:val="00637E11"/>
    <w:rsid w:val="006402B5"/>
    <w:rsid w:val="006402D3"/>
    <w:rsid w:val="0064048C"/>
    <w:rsid w:val="00641872"/>
    <w:rsid w:val="00641A4C"/>
    <w:rsid w:val="00641B11"/>
    <w:rsid w:val="00641E3B"/>
    <w:rsid w:val="00642002"/>
    <w:rsid w:val="00642740"/>
    <w:rsid w:val="00643539"/>
    <w:rsid w:val="00643CC2"/>
    <w:rsid w:val="0064440C"/>
    <w:rsid w:val="00644443"/>
    <w:rsid w:val="00644DAD"/>
    <w:rsid w:val="006453FF"/>
    <w:rsid w:val="00645EFB"/>
    <w:rsid w:val="006462A0"/>
    <w:rsid w:val="00646677"/>
    <w:rsid w:val="00646920"/>
    <w:rsid w:val="00646D3F"/>
    <w:rsid w:val="006472D5"/>
    <w:rsid w:val="006479FC"/>
    <w:rsid w:val="00647B2B"/>
    <w:rsid w:val="00647E3E"/>
    <w:rsid w:val="00647E79"/>
    <w:rsid w:val="006507F1"/>
    <w:rsid w:val="006512A4"/>
    <w:rsid w:val="006515FD"/>
    <w:rsid w:val="0065164E"/>
    <w:rsid w:val="0065184A"/>
    <w:rsid w:val="00652472"/>
    <w:rsid w:val="00652C95"/>
    <w:rsid w:val="00652C9A"/>
    <w:rsid w:val="00652DDD"/>
    <w:rsid w:val="006532CA"/>
    <w:rsid w:val="00653B78"/>
    <w:rsid w:val="00654BB1"/>
    <w:rsid w:val="006553DB"/>
    <w:rsid w:val="006559EF"/>
    <w:rsid w:val="00655F3E"/>
    <w:rsid w:val="00656211"/>
    <w:rsid w:val="0065644A"/>
    <w:rsid w:val="00656795"/>
    <w:rsid w:val="00656E11"/>
    <w:rsid w:val="006570CB"/>
    <w:rsid w:val="00657649"/>
    <w:rsid w:val="00657B03"/>
    <w:rsid w:val="00660729"/>
    <w:rsid w:val="00660755"/>
    <w:rsid w:val="0066092E"/>
    <w:rsid w:val="006615A5"/>
    <w:rsid w:val="006616E0"/>
    <w:rsid w:val="0066217F"/>
    <w:rsid w:val="00662336"/>
    <w:rsid w:val="0066273E"/>
    <w:rsid w:val="00662A93"/>
    <w:rsid w:val="00662BEB"/>
    <w:rsid w:val="00663745"/>
    <w:rsid w:val="006639BD"/>
    <w:rsid w:val="00663C4A"/>
    <w:rsid w:val="00663FC9"/>
    <w:rsid w:val="006644AC"/>
    <w:rsid w:val="00665381"/>
    <w:rsid w:val="0066544E"/>
    <w:rsid w:val="00665A7C"/>
    <w:rsid w:val="00665E2F"/>
    <w:rsid w:val="00665F15"/>
    <w:rsid w:val="0066639B"/>
    <w:rsid w:val="006665F7"/>
    <w:rsid w:val="006665FE"/>
    <w:rsid w:val="00667272"/>
    <w:rsid w:val="006677A9"/>
    <w:rsid w:val="006700B1"/>
    <w:rsid w:val="006700F8"/>
    <w:rsid w:val="00670B9C"/>
    <w:rsid w:val="00670E23"/>
    <w:rsid w:val="00671264"/>
    <w:rsid w:val="00671643"/>
    <w:rsid w:val="006717EA"/>
    <w:rsid w:val="00671B40"/>
    <w:rsid w:val="0067274A"/>
    <w:rsid w:val="0067297C"/>
    <w:rsid w:val="00672F1B"/>
    <w:rsid w:val="0067302E"/>
    <w:rsid w:val="00673640"/>
    <w:rsid w:val="00673E68"/>
    <w:rsid w:val="00674976"/>
    <w:rsid w:val="00674A82"/>
    <w:rsid w:val="00674E12"/>
    <w:rsid w:val="0067529A"/>
    <w:rsid w:val="006759ED"/>
    <w:rsid w:val="00675A1D"/>
    <w:rsid w:val="00675C47"/>
    <w:rsid w:val="00675E72"/>
    <w:rsid w:val="0067620F"/>
    <w:rsid w:val="00676555"/>
    <w:rsid w:val="0067664F"/>
    <w:rsid w:val="006769D9"/>
    <w:rsid w:val="0067743D"/>
    <w:rsid w:val="00677601"/>
    <w:rsid w:val="00677A92"/>
    <w:rsid w:val="00677ADD"/>
    <w:rsid w:val="006802E7"/>
    <w:rsid w:val="00680378"/>
    <w:rsid w:val="006804FB"/>
    <w:rsid w:val="0068060E"/>
    <w:rsid w:val="00680761"/>
    <w:rsid w:val="00681182"/>
    <w:rsid w:val="00681AB3"/>
    <w:rsid w:val="00681BE3"/>
    <w:rsid w:val="00681C0F"/>
    <w:rsid w:val="00681E31"/>
    <w:rsid w:val="00681E3C"/>
    <w:rsid w:val="00682A84"/>
    <w:rsid w:val="006839AC"/>
    <w:rsid w:val="006845AD"/>
    <w:rsid w:val="00684BC3"/>
    <w:rsid w:val="00684BDC"/>
    <w:rsid w:val="00684F7E"/>
    <w:rsid w:val="0068521F"/>
    <w:rsid w:val="00685C44"/>
    <w:rsid w:val="006863BA"/>
    <w:rsid w:val="0068655D"/>
    <w:rsid w:val="00687074"/>
    <w:rsid w:val="006878DC"/>
    <w:rsid w:val="00687E65"/>
    <w:rsid w:val="00690A3C"/>
    <w:rsid w:val="00690B2A"/>
    <w:rsid w:val="00690F4D"/>
    <w:rsid w:val="00691992"/>
    <w:rsid w:val="00691C04"/>
    <w:rsid w:val="00691CE4"/>
    <w:rsid w:val="006920A1"/>
    <w:rsid w:val="0069216A"/>
    <w:rsid w:val="00692511"/>
    <w:rsid w:val="006925AC"/>
    <w:rsid w:val="00692695"/>
    <w:rsid w:val="006929E2"/>
    <w:rsid w:val="00692B1A"/>
    <w:rsid w:val="00692BB2"/>
    <w:rsid w:val="006936E2"/>
    <w:rsid w:val="006949F5"/>
    <w:rsid w:val="006953AC"/>
    <w:rsid w:val="00695D1A"/>
    <w:rsid w:val="00695DE3"/>
    <w:rsid w:val="0069648E"/>
    <w:rsid w:val="00697B13"/>
    <w:rsid w:val="00697D1E"/>
    <w:rsid w:val="006A0051"/>
    <w:rsid w:val="006A0455"/>
    <w:rsid w:val="006A0BA4"/>
    <w:rsid w:val="006A0BE8"/>
    <w:rsid w:val="006A0F05"/>
    <w:rsid w:val="006A12E5"/>
    <w:rsid w:val="006A2057"/>
    <w:rsid w:val="006A367F"/>
    <w:rsid w:val="006A37D7"/>
    <w:rsid w:val="006A37DE"/>
    <w:rsid w:val="006A384C"/>
    <w:rsid w:val="006A3CCD"/>
    <w:rsid w:val="006A4356"/>
    <w:rsid w:val="006A445E"/>
    <w:rsid w:val="006A4D20"/>
    <w:rsid w:val="006A5171"/>
    <w:rsid w:val="006A51A0"/>
    <w:rsid w:val="006A5208"/>
    <w:rsid w:val="006A57F3"/>
    <w:rsid w:val="006A5A50"/>
    <w:rsid w:val="006A5B34"/>
    <w:rsid w:val="006A6BC1"/>
    <w:rsid w:val="006A6F98"/>
    <w:rsid w:val="006A74F8"/>
    <w:rsid w:val="006A7586"/>
    <w:rsid w:val="006A788F"/>
    <w:rsid w:val="006A7A9C"/>
    <w:rsid w:val="006A7AE8"/>
    <w:rsid w:val="006A7DA8"/>
    <w:rsid w:val="006B00E3"/>
    <w:rsid w:val="006B03AD"/>
    <w:rsid w:val="006B0BAD"/>
    <w:rsid w:val="006B1043"/>
    <w:rsid w:val="006B1278"/>
    <w:rsid w:val="006B1393"/>
    <w:rsid w:val="006B17F7"/>
    <w:rsid w:val="006B18EF"/>
    <w:rsid w:val="006B1D5A"/>
    <w:rsid w:val="006B2349"/>
    <w:rsid w:val="006B25B4"/>
    <w:rsid w:val="006B2A9D"/>
    <w:rsid w:val="006B2E5D"/>
    <w:rsid w:val="006B30F4"/>
    <w:rsid w:val="006B3834"/>
    <w:rsid w:val="006B394A"/>
    <w:rsid w:val="006B4255"/>
    <w:rsid w:val="006B441F"/>
    <w:rsid w:val="006B48BA"/>
    <w:rsid w:val="006B543E"/>
    <w:rsid w:val="006B5B35"/>
    <w:rsid w:val="006B5DD2"/>
    <w:rsid w:val="006B5FA0"/>
    <w:rsid w:val="006B63F3"/>
    <w:rsid w:val="006B66C9"/>
    <w:rsid w:val="006B69F4"/>
    <w:rsid w:val="006B6CC0"/>
    <w:rsid w:val="006B70B5"/>
    <w:rsid w:val="006B79D2"/>
    <w:rsid w:val="006B7CB4"/>
    <w:rsid w:val="006B7D8F"/>
    <w:rsid w:val="006B7EFC"/>
    <w:rsid w:val="006C096F"/>
    <w:rsid w:val="006C0B21"/>
    <w:rsid w:val="006C17E4"/>
    <w:rsid w:val="006C1A98"/>
    <w:rsid w:val="006C2B4B"/>
    <w:rsid w:val="006C352D"/>
    <w:rsid w:val="006C388B"/>
    <w:rsid w:val="006C39DA"/>
    <w:rsid w:val="006C3AB5"/>
    <w:rsid w:val="006C4DE3"/>
    <w:rsid w:val="006C5A4A"/>
    <w:rsid w:val="006C5AD9"/>
    <w:rsid w:val="006C5D37"/>
    <w:rsid w:val="006C5EE4"/>
    <w:rsid w:val="006C5F44"/>
    <w:rsid w:val="006C60D5"/>
    <w:rsid w:val="006C68DD"/>
    <w:rsid w:val="006C6F2C"/>
    <w:rsid w:val="006C70D8"/>
    <w:rsid w:val="006C7157"/>
    <w:rsid w:val="006C7295"/>
    <w:rsid w:val="006C7669"/>
    <w:rsid w:val="006C7A96"/>
    <w:rsid w:val="006C7B11"/>
    <w:rsid w:val="006C7EF6"/>
    <w:rsid w:val="006C7F51"/>
    <w:rsid w:val="006D0BD4"/>
    <w:rsid w:val="006D1395"/>
    <w:rsid w:val="006D193D"/>
    <w:rsid w:val="006D1FF6"/>
    <w:rsid w:val="006D210D"/>
    <w:rsid w:val="006D2225"/>
    <w:rsid w:val="006D2944"/>
    <w:rsid w:val="006D2F44"/>
    <w:rsid w:val="006D30E8"/>
    <w:rsid w:val="006D3110"/>
    <w:rsid w:val="006D3543"/>
    <w:rsid w:val="006D380E"/>
    <w:rsid w:val="006D3DEF"/>
    <w:rsid w:val="006D41FE"/>
    <w:rsid w:val="006D484A"/>
    <w:rsid w:val="006D4930"/>
    <w:rsid w:val="006D4A8C"/>
    <w:rsid w:val="006D4BA2"/>
    <w:rsid w:val="006D4DEA"/>
    <w:rsid w:val="006D52AD"/>
    <w:rsid w:val="006D52BB"/>
    <w:rsid w:val="006D601A"/>
    <w:rsid w:val="006D6038"/>
    <w:rsid w:val="006D6B08"/>
    <w:rsid w:val="006D6BAC"/>
    <w:rsid w:val="006D6BFC"/>
    <w:rsid w:val="006D734D"/>
    <w:rsid w:val="006D78CD"/>
    <w:rsid w:val="006D7D6C"/>
    <w:rsid w:val="006E0008"/>
    <w:rsid w:val="006E02E1"/>
    <w:rsid w:val="006E0324"/>
    <w:rsid w:val="006E09E4"/>
    <w:rsid w:val="006E0A17"/>
    <w:rsid w:val="006E0FFD"/>
    <w:rsid w:val="006E18C2"/>
    <w:rsid w:val="006E1CAF"/>
    <w:rsid w:val="006E1E2C"/>
    <w:rsid w:val="006E23CC"/>
    <w:rsid w:val="006E26FE"/>
    <w:rsid w:val="006E2973"/>
    <w:rsid w:val="006E2A13"/>
    <w:rsid w:val="006E2A7E"/>
    <w:rsid w:val="006E30CA"/>
    <w:rsid w:val="006E31A1"/>
    <w:rsid w:val="006E36CA"/>
    <w:rsid w:val="006E3E70"/>
    <w:rsid w:val="006E3F87"/>
    <w:rsid w:val="006E4038"/>
    <w:rsid w:val="006E4328"/>
    <w:rsid w:val="006E471A"/>
    <w:rsid w:val="006E515C"/>
    <w:rsid w:val="006E52EE"/>
    <w:rsid w:val="006E5A6A"/>
    <w:rsid w:val="006E618B"/>
    <w:rsid w:val="006E62F9"/>
    <w:rsid w:val="006E6971"/>
    <w:rsid w:val="006E72C2"/>
    <w:rsid w:val="006E7860"/>
    <w:rsid w:val="006E7AFB"/>
    <w:rsid w:val="006F01DF"/>
    <w:rsid w:val="006F0584"/>
    <w:rsid w:val="006F0654"/>
    <w:rsid w:val="006F0679"/>
    <w:rsid w:val="006F0EFE"/>
    <w:rsid w:val="006F1213"/>
    <w:rsid w:val="006F196F"/>
    <w:rsid w:val="006F2270"/>
    <w:rsid w:val="006F2580"/>
    <w:rsid w:val="006F2A45"/>
    <w:rsid w:val="006F435A"/>
    <w:rsid w:val="006F4A56"/>
    <w:rsid w:val="006F64A9"/>
    <w:rsid w:val="006F6879"/>
    <w:rsid w:val="006F6C51"/>
    <w:rsid w:val="006F6DBA"/>
    <w:rsid w:val="006F74E5"/>
    <w:rsid w:val="006F7562"/>
    <w:rsid w:val="006F77AD"/>
    <w:rsid w:val="006F79FB"/>
    <w:rsid w:val="007007CC"/>
    <w:rsid w:val="00700AF6"/>
    <w:rsid w:val="00700CD8"/>
    <w:rsid w:val="0070111F"/>
    <w:rsid w:val="00701655"/>
    <w:rsid w:val="00701C2B"/>
    <w:rsid w:val="00701CC2"/>
    <w:rsid w:val="00702276"/>
    <w:rsid w:val="00702326"/>
    <w:rsid w:val="00702327"/>
    <w:rsid w:val="00702AD5"/>
    <w:rsid w:val="00702BCC"/>
    <w:rsid w:val="007040FE"/>
    <w:rsid w:val="0070415D"/>
    <w:rsid w:val="00704172"/>
    <w:rsid w:val="00704668"/>
    <w:rsid w:val="007049CE"/>
    <w:rsid w:val="00704B1F"/>
    <w:rsid w:val="00704BB8"/>
    <w:rsid w:val="00704EE0"/>
    <w:rsid w:val="007053E3"/>
    <w:rsid w:val="00705444"/>
    <w:rsid w:val="00705C65"/>
    <w:rsid w:val="00705D14"/>
    <w:rsid w:val="00705D7A"/>
    <w:rsid w:val="007060D4"/>
    <w:rsid w:val="00706744"/>
    <w:rsid w:val="00706A00"/>
    <w:rsid w:val="00707166"/>
    <w:rsid w:val="00707316"/>
    <w:rsid w:val="00707453"/>
    <w:rsid w:val="00707653"/>
    <w:rsid w:val="00707963"/>
    <w:rsid w:val="00707975"/>
    <w:rsid w:val="007079B4"/>
    <w:rsid w:val="00707D84"/>
    <w:rsid w:val="0071035D"/>
    <w:rsid w:val="007112E8"/>
    <w:rsid w:val="007117EC"/>
    <w:rsid w:val="007131FF"/>
    <w:rsid w:val="00713269"/>
    <w:rsid w:val="00713B63"/>
    <w:rsid w:val="00713BF6"/>
    <w:rsid w:val="00714004"/>
    <w:rsid w:val="0071439E"/>
    <w:rsid w:val="00715763"/>
    <w:rsid w:val="00715AD2"/>
    <w:rsid w:val="00715FA3"/>
    <w:rsid w:val="007160D0"/>
    <w:rsid w:val="00716214"/>
    <w:rsid w:val="00716374"/>
    <w:rsid w:val="00716735"/>
    <w:rsid w:val="007169E6"/>
    <w:rsid w:val="00716C8C"/>
    <w:rsid w:val="00716D03"/>
    <w:rsid w:val="00716E0F"/>
    <w:rsid w:val="00716F11"/>
    <w:rsid w:val="00717B38"/>
    <w:rsid w:val="00717CBC"/>
    <w:rsid w:val="00717CFC"/>
    <w:rsid w:val="00717D1D"/>
    <w:rsid w:val="00720FDC"/>
    <w:rsid w:val="00721369"/>
    <w:rsid w:val="0072137C"/>
    <w:rsid w:val="00721646"/>
    <w:rsid w:val="00721ABC"/>
    <w:rsid w:val="00722529"/>
    <w:rsid w:val="00722B5C"/>
    <w:rsid w:val="00722BCA"/>
    <w:rsid w:val="00722EF3"/>
    <w:rsid w:val="00723473"/>
    <w:rsid w:val="00723553"/>
    <w:rsid w:val="0072363E"/>
    <w:rsid w:val="00724114"/>
    <w:rsid w:val="00724563"/>
    <w:rsid w:val="007245A0"/>
    <w:rsid w:val="00724634"/>
    <w:rsid w:val="0072465D"/>
    <w:rsid w:val="00725005"/>
    <w:rsid w:val="00725206"/>
    <w:rsid w:val="00725893"/>
    <w:rsid w:val="0072594D"/>
    <w:rsid w:val="00725D40"/>
    <w:rsid w:val="00725E05"/>
    <w:rsid w:val="00726783"/>
    <w:rsid w:val="00726E2C"/>
    <w:rsid w:val="0072760B"/>
    <w:rsid w:val="00727AFB"/>
    <w:rsid w:val="00727BE2"/>
    <w:rsid w:val="00727C41"/>
    <w:rsid w:val="00730396"/>
    <w:rsid w:val="00730505"/>
    <w:rsid w:val="007305B7"/>
    <w:rsid w:val="00730637"/>
    <w:rsid w:val="007307BC"/>
    <w:rsid w:val="00730A43"/>
    <w:rsid w:val="00730AAD"/>
    <w:rsid w:val="007310C5"/>
    <w:rsid w:val="007314A2"/>
    <w:rsid w:val="00731A5B"/>
    <w:rsid w:val="00731A9F"/>
    <w:rsid w:val="00732449"/>
    <w:rsid w:val="007327FE"/>
    <w:rsid w:val="00732D3E"/>
    <w:rsid w:val="00732DBE"/>
    <w:rsid w:val="0073329B"/>
    <w:rsid w:val="00733662"/>
    <w:rsid w:val="007337CB"/>
    <w:rsid w:val="00733A3A"/>
    <w:rsid w:val="00734157"/>
    <w:rsid w:val="0073434E"/>
    <w:rsid w:val="00734555"/>
    <w:rsid w:val="00734676"/>
    <w:rsid w:val="00734A79"/>
    <w:rsid w:val="00734D09"/>
    <w:rsid w:val="0073502A"/>
    <w:rsid w:val="007351B6"/>
    <w:rsid w:val="00735287"/>
    <w:rsid w:val="0073548B"/>
    <w:rsid w:val="00735826"/>
    <w:rsid w:val="00735923"/>
    <w:rsid w:val="007360A3"/>
    <w:rsid w:val="007361F3"/>
    <w:rsid w:val="00736359"/>
    <w:rsid w:val="007363E4"/>
    <w:rsid w:val="007364F6"/>
    <w:rsid w:val="00736ACB"/>
    <w:rsid w:val="00736D56"/>
    <w:rsid w:val="007372F0"/>
    <w:rsid w:val="00737416"/>
    <w:rsid w:val="007374CE"/>
    <w:rsid w:val="0073779C"/>
    <w:rsid w:val="0073780A"/>
    <w:rsid w:val="00737F91"/>
    <w:rsid w:val="00740065"/>
    <w:rsid w:val="007405A7"/>
    <w:rsid w:val="00740B7B"/>
    <w:rsid w:val="007416CA"/>
    <w:rsid w:val="00741792"/>
    <w:rsid w:val="00741D8B"/>
    <w:rsid w:val="0074216B"/>
    <w:rsid w:val="00742411"/>
    <w:rsid w:val="007427C8"/>
    <w:rsid w:val="00744004"/>
    <w:rsid w:val="0074447B"/>
    <w:rsid w:val="00744AC6"/>
    <w:rsid w:val="00745324"/>
    <w:rsid w:val="00745659"/>
    <w:rsid w:val="007459D9"/>
    <w:rsid w:val="00745B94"/>
    <w:rsid w:val="007461E2"/>
    <w:rsid w:val="00746C46"/>
    <w:rsid w:val="00746CE3"/>
    <w:rsid w:val="00746D23"/>
    <w:rsid w:val="007470D3"/>
    <w:rsid w:val="007472DE"/>
    <w:rsid w:val="00747378"/>
    <w:rsid w:val="0074744C"/>
    <w:rsid w:val="007476B7"/>
    <w:rsid w:val="007477E6"/>
    <w:rsid w:val="007505C3"/>
    <w:rsid w:val="0075089F"/>
    <w:rsid w:val="00750C65"/>
    <w:rsid w:val="00750C78"/>
    <w:rsid w:val="007512DB"/>
    <w:rsid w:val="00751641"/>
    <w:rsid w:val="00751C5C"/>
    <w:rsid w:val="0075242B"/>
    <w:rsid w:val="00752C1A"/>
    <w:rsid w:val="00752FBE"/>
    <w:rsid w:val="00753B70"/>
    <w:rsid w:val="00753DA2"/>
    <w:rsid w:val="00753DBF"/>
    <w:rsid w:val="00754198"/>
    <w:rsid w:val="00754586"/>
    <w:rsid w:val="00754B28"/>
    <w:rsid w:val="007553C1"/>
    <w:rsid w:val="0075550D"/>
    <w:rsid w:val="007564FE"/>
    <w:rsid w:val="007566D9"/>
    <w:rsid w:val="0075682F"/>
    <w:rsid w:val="00756CE2"/>
    <w:rsid w:val="00756F59"/>
    <w:rsid w:val="0076017A"/>
    <w:rsid w:val="007601E9"/>
    <w:rsid w:val="0076037E"/>
    <w:rsid w:val="00760633"/>
    <w:rsid w:val="00760F53"/>
    <w:rsid w:val="00761527"/>
    <w:rsid w:val="00761A5D"/>
    <w:rsid w:val="00762323"/>
    <w:rsid w:val="00762729"/>
    <w:rsid w:val="00762C84"/>
    <w:rsid w:val="00762EC0"/>
    <w:rsid w:val="00762F68"/>
    <w:rsid w:val="007632EB"/>
    <w:rsid w:val="00764325"/>
    <w:rsid w:val="007646A7"/>
    <w:rsid w:val="007646A8"/>
    <w:rsid w:val="00764784"/>
    <w:rsid w:val="00764B20"/>
    <w:rsid w:val="00764BCD"/>
    <w:rsid w:val="007653A1"/>
    <w:rsid w:val="007654E7"/>
    <w:rsid w:val="00765976"/>
    <w:rsid w:val="00765C90"/>
    <w:rsid w:val="00766529"/>
    <w:rsid w:val="00766DAC"/>
    <w:rsid w:val="00767046"/>
    <w:rsid w:val="0076720A"/>
    <w:rsid w:val="007673BA"/>
    <w:rsid w:val="007701FF"/>
    <w:rsid w:val="00770BE0"/>
    <w:rsid w:val="00770F75"/>
    <w:rsid w:val="007717EF"/>
    <w:rsid w:val="00771D17"/>
    <w:rsid w:val="007723A9"/>
    <w:rsid w:val="00772EF7"/>
    <w:rsid w:val="00773005"/>
    <w:rsid w:val="0077331B"/>
    <w:rsid w:val="00773584"/>
    <w:rsid w:val="00773E95"/>
    <w:rsid w:val="00774149"/>
    <w:rsid w:val="00774CEF"/>
    <w:rsid w:val="00774EB2"/>
    <w:rsid w:val="007754FB"/>
    <w:rsid w:val="00775795"/>
    <w:rsid w:val="00775AE7"/>
    <w:rsid w:val="00775CD5"/>
    <w:rsid w:val="0077629F"/>
    <w:rsid w:val="00776312"/>
    <w:rsid w:val="0077644C"/>
    <w:rsid w:val="0077695E"/>
    <w:rsid w:val="00776A3C"/>
    <w:rsid w:val="00776C4D"/>
    <w:rsid w:val="0077719B"/>
    <w:rsid w:val="0077771B"/>
    <w:rsid w:val="00777852"/>
    <w:rsid w:val="00777865"/>
    <w:rsid w:val="007779FF"/>
    <w:rsid w:val="00777B7D"/>
    <w:rsid w:val="00777CDA"/>
    <w:rsid w:val="00777E5A"/>
    <w:rsid w:val="00777F2C"/>
    <w:rsid w:val="00777FE4"/>
    <w:rsid w:val="007803D5"/>
    <w:rsid w:val="00780579"/>
    <w:rsid w:val="0078077D"/>
    <w:rsid w:val="00781B68"/>
    <w:rsid w:val="007823A1"/>
    <w:rsid w:val="0078243E"/>
    <w:rsid w:val="007824ED"/>
    <w:rsid w:val="0078282E"/>
    <w:rsid w:val="00782C4C"/>
    <w:rsid w:val="007831DB"/>
    <w:rsid w:val="00783498"/>
    <w:rsid w:val="00783554"/>
    <w:rsid w:val="00783A14"/>
    <w:rsid w:val="00783B37"/>
    <w:rsid w:val="00783FEC"/>
    <w:rsid w:val="00784018"/>
    <w:rsid w:val="00784123"/>
    <w:rsid w:val="0078426D"/>
    <w:rsid w:val="0078497C"/>
    <w:rsid w:val="007853C9"/>
    <w:rsid w:val="00785860"/>
    <w:rsid w:val="00785DD5"/>
    <w:rsid w:val="007864F8"/>
    <w:rsid w:val="0078653F"/>
    <w:rsid w:val="00786555"/>
    <w:rsid w:val="007867A8"/>
    <w:rsid w:val="007871C9"/>
    <w:rsid w:val="007871CA"/>
    <w:rsid w:val="00787644"/>
    <w:rsid w:val="0078766B"/>
    <w:rsid w:val="00787876"/>
    <w:rsid w:val="00787A71"/>
    <w:rsid w:val="00787A87"/>
    <w:rsid w:val="00787AB8"/>
    <w:rsid w:val="00787BCD"/>
    <w:rsid w:val="00787C18"/>
    <w:rsid w:val="00787D82"/>
    <w:rsid w:val="00787E2D"/>
    <w:rsid w:val="007900AD"/>
    <w:rsid w:val="0079060A"/>
    <w:rsid w:val="007909B3"/>
    <w:rsid w:val="00790C1B"/>
    <w:rsid w:val="00791A8D"/>
    <w:rsid w:val="00791AB5"/>
    <w:rsid w:val="00791B67"/>
    <w:rsid w:val="00791BE2"/>
    <w:rsid w:val="0079235B"/>
    <w:rsid w:val="0079264A"/>
    <w:rsid w:val="0079282A"/>
    <w:rsid w:val="00792C53"/>
    <w:rsid w:val="00793356"/>
    <w:rsid w:val="00793494"/>
    <w:rsid w:val="007937FA"/>
    <w:rsid w:val="00793F0E"/>
    <w:rsid w:val="00794012"/>
    <w:rsid w:val="00794145"/>
    <w:rsid w:val="00794508"/>
    <w:rsid w:val="007949EA"/>
    <w:rsid w:val="00794B85"/>
    <w:rsid w:val="00794E34"/>
    <w:rsid w:val="00795204"/>
    <w:rsid w:val="00795351"/>
    <w:rsid w:val="0079546F"/>
    <w:rsid w:val="007963BC"/>
    <w:rsid w:val="00796703"/>
    <w:rsid w:val="007967F1"/>
    <w:rsid w:val="0079686B"/>
    <w:rsid w:val="00796D93"/>
    <w:rsid w:val="0079752E"/>
    <w:rsid w:val="00797728"/>
    <w:rsid w:val="00797CBE"/>
    <w:rsid w:val="00797F34"/>
    <w:rsid w:val="007A04F9"/>
    <w:rsid w:val="007A0760"/>
    <w:rsid w:val="007A0CA3"/>
    <w:rsid w:val="007A14FE"/>
    <w:rsid w:val="007A15E9"/>
    <w:rsid w:val="007A1671"/>
    <w:rsid w:val="007A1743"/>
    <w:rsid w:val="007A21DD"/>
    <w:rsid w:val="007A232B"/>
    <w:rsid w:val="007A2620"/>
    <w:rsid w:val="007A316C"/>
    <w:rsid w:val="007A3563"/>
    <w:rsid w:val="007A35CC"/>
    <w:rsid w:val="007A39CA"/>
    <w:rsid w:val="007A3DA6"/>
    <w:rsid w:val="007A4BD9"/>
    <w:rsid w:val="007A5094"/>
    <w:rsid w:val="007A5337"/>
    <w:rsid w:val="007A5535"/>
    <w:rsid w:val="007A6247"/>
    <w:rsid w:val="007A666B"/>
    <w:rsid w:val="007A69CE"/>
    <w:rsid w:val="007A70F9"/>
    <w:rsid w:val="007A7295"/>
    <w:rsid w:val="007A7444"/>
    <w:rsid w:val="007A7972"/>
    <w:rsid w:val="007B0F20"/>
    <w:rsid w:val="007B0F2C"/>
    <w:rsid w:val="007B0FA0"/>
    <w:rsid w:val="007B1296"/>
    <w:rsid w:val="007B1C2C"/>
    <w:rsid w:val="007B1D2E"/>
    <w:rsid w:val="007B21B2"/>
    <w:rsid w:val="007B244B"/>
    <w:rsid w:val="007B2B37"/>
    <w:rsid w:val="007B2C76"/>
    <w:rsid w:val="007B2E06"/>
    <w:rsid w:val="007B30E5"/>
    <w:rsid w:val="007B376B"/>
    <w:rsid w:val="007B3ABD"/>
    <w:rsid w:val="007B3DBF"/>
    <w:rsid w:val="007B4A8F"/>
    <w:rsid w:val="007B4E61"/>
    <w:rsid w:val="007B511B"/>
    <w:rsid w:val="007B54D7"/>
    <w:rsid w:val="007B551D"/>
    <w:rsid w:val="007B5527"/>
    <w:rsid w:val="007B59E0"/>
    <w:rsid w:val="007B5B7B"/>
    <w:rsid w:val="007B5F0C"/>
    <w:rsid w:val="007B6E8D"/>
    <w:rsid w:val="007B735E"/>
    <w:rsid w:val="007B77EA"/>
    <w:rsid w:val="007C0348"/>
    <w:rsid w:val="007C06B3"/>
    <w:rsid w:val="007C07DE"/>
    <w:rsid w:val="007C1046"/>
    <w:rsid w:val="007C1309"/>
    <w:rsid w:val="007C1B86"/>
    <w:rsid w:val="007C2227"/>
    <w:rsid w:val="007C2326"/>
    <w:rsid w:val="007C2749"/>
    <w:rsid w:val="007C2BCE"/>
    <w:rsid w:val="007C2C84"/>
    <w:rsid w:val="007C3307"/>
    <w:rsid w:val="007C34AA"/>
    <w:rsid w:val="007C37E8"/>
    <w:rsid w:val="007C3930"/>
    <w:rsid w:val="007C3A6A"/>
    <w:rsid w:val="007C4080"/>
    <w:rsid w:val="007C43C5"/>
    <w:rsid w:val="007C48E7"/>
    <w:rsid w:val="007C4EB3"/>
    <w:rsid w:val="007C5A85"/>
    <w:rsid w:val="007C5DD9"/>
    <w:rsid w:val="007C6095"/>
    <w:rsid w:val="007C61D6"/>
    <w:rsid w:val="007C61F3"/>
    <w:rsid w:val="007C630D"/>
    <w:rsid w:val="007C68F1"/>
    <w:rsid w:val="007C72E0"/>
    <w:rsid w:val="007C761F"/>
    <w:rsid w:val="007C7E6C"/>
    <w:rsid w:val="007C7F27"/>
    <w:rsid w:val="007D02E2"/>
    <w:rsid w:val="007D0697"/>
    <w:rsid w:val="007D08E3"/>
    <w:rsid w:val="007D0980"/>
    <w:rsid w:val="007D0CEA"/>
    <w:rsid w:val="007D106D"/>
    <w:rsid w:val="007D17B0"/>
    <w:rsid w:val="007D1A55"/>
    <w:rsid w:val="007D1EA0"/>
    <w:rsid w:val="007D1F51"/>
    <w:rsid w:val="007D22E8"/>
    <w:rsid w:val="007D25F7"/>
    <w:rsid w:val="007D2AFC"/>
    <w:rsid w:val="007D3453"/>
    <w:rsid w:val="007D37DB"/>
    <w:rsid w:val="007D3C49"/>
    <w:rsid w:val="007D4094"/>
    <w:rsid w:val="007D419F"/>
    <w:rsid w:val="007D41BD"/>
    <w:rsid w:val="007D423E"/>
    <w:rsid w:val="007D5023"/>
    <w:rsid w:val="007D5B1C"/>
    <w:rsid w:val="007D5E7D"/>
    <w:rsid w:val="007D67C1"/>
    <w:rsid w:val="007D6A35"/>
    <w:rsid w:val="007D749D"/>
    <w:rsid w:val="007D7C00"/>
    <w:rsid w:val="007D7D5E"/>
    <w:rsid w:val="007E00DD"/>
    <w:rsid w:val="007E0528"/>
    <w:rsid w:val="007E09C3"/>
    <w:rsid w:val="007E0DC8"/>
    <w:rsid w:val="007E0E03"/>
    <w:rsid w:val="007E0F95"/>
    <w:rsid w:val="007E1694"/>
    <w:rsid w:val="007E175C"/>
    <w:rsid w:val="007E1A97"/>
    <w:rsid w:val="007E1B5D"/>
    <w:rsid w:val="007E1EEE"/>
    <w:rsid w:val="007E28E2"/>
    <w:rsid w:val="007E2ACD"/>
    <w:rsid w:val="007E2B23"/>
    <w:rsid w:val="007E300D"/>
    <w:rsid w:val="007E30A7"/>
    <w:rsid w:val="007E318B"/>
    <w:rsid w:val="007E31AD"/>
    <w:rsid w:val="007E3FC9"/>
    <w:rsid w:val="007E4008"/>
    <w:rsid w:val="007E45D6"/>
    <w:rsid w:val="007E4AFA"/>
    <w:rsid w:val="007E4B22"/>
    <w:rsid w:val="007E4EA5"/>
    <w:rsid w:val="007E579B"/>
    <w:rsid w:val="007E5AA1"/>
    <w:rsid w:val="007E5B1F"/>
    <w:rsid w:val="007E5CC9"/>
    <w:rsid w:val="007E606F"/>
    <w:rsid w:val="007E6776"/>
    <w:rsid w:val="007E67BA"/>
    <w:rsid w:val="007E6B72"/>
    <w:rsid w:val="007E6F6E"/>
    <w:rsid w:val="007E7A0B"/>
    <w:rsid w:val="007F056E"/>
    <w:rsid w:val="007F0914"/>
    <w:rsid w:val="007F0B15"/>
    <w:rsid w:val="007F0DB3"/>
    <w:rsid w:val="007F1249"/>
    <w:rsid w:val="007F1612"/>
    <w:rsid w:val="007F1BD3"/>
    <w:rsid w:val="007F1BEA"/>
    <w:rsid w:val="007F23E3"/>
    <w:rsid w:val="007F2665"/>
    <w:rsid w:val="007F2921"/>
    <w:rsid w:val="007F309A"/>
    <w:rsid w:val="007F33D0"/>
    <w:rsid w:val="007F3494"/>
    <w:rsid w:val="007F3979"/>
    <w:rsid w:val="007F423A"/>
    <w:rsid w:val="007F4536"/>
    <w:rsid w:val="007F4F5C"/>
    <w:rsid w:val="007F4F62"/>
    <w:rsid w:val="007F5237"/>
    <w:rsid w:val="007F53E6"/>
    <w:rsid w:val="007F5722"/>
    <w:rsid w:val="007F6550"/>
    <w:rsid w:val="007F678F"/>
    <w:rsid w:val="007F67FD"/>
    <w:rsid w:val="007F693E"/>
    <w:rsid w:val="007F6C40"/>
    <w:rsid w:val="00800530"/>
    <w:rsid w:val="0080053E"/>
    <w:rsid w:val="0080137E"/>
    <w:rsid w:val="00801556"/>
    <w:rsid w:val="008018E7"/>
    <w:rsid w:val="00801C4D"/>
    <w:rsid w:val="00802A2E"/>
    <w:rsid w:val="00802B36"/>
    <w:rsid w:val="00802DB9"/>
    <w:rsid w:val="00803691"/>
    <w:rsid w:val="00803D90"/>
    <w:rsid w:val="00803DC1"/>
    <w:rsid w:val="008040AB"/>
    <w:rsid w:val="008043DD"/>
    <w:rsid w:val="008047A0"/>
    <w:rsid w:val="00804D16"/>
    <w:rsid w:val="008057F5"/>
    <w:rsid w:val="00805927"/>
    <w:rsid w:val="00805D6A"/>
    <w:rsid w:val="00806202"/>
    <w:rsid w:val="00806CB6"/>
    <w:rsid w:val="00806F66"/>
    <w:rsid w:val="00806FF1"/>
    <w:rsid w:val="00807221"/>
    <w:rsid w:val="00807435"/>
    <w:rsid w:val="00807D52"/>
    <w:rsid w:val="00807FBA"/>
    <w:rsid w:val="0081025D"/>
    <w:rsid w:val="00810471"/>
    <w:rsid w:val="008110FE"/>
    <w:rsid w:val="00811798"/>
    <w:rsid w:val="00811F00"/>
    <w:rsid w:val="00812962"/>
    <w:rsid w:val="008129F7"/>
    <w:rsid w:val="00812B34"/>
    <w:rsid w:val="00812C22"/>
    <w:rsid w:val="00812C50"/>
    <w:rsid w:val="00812CC9"/>
    <w:rsid w:val="00812F4A"/>
    <w:rsid w:val="008136AB"/>
    <w:rsid w:val="0081372A"/>
    <w:rsid w:val="00813872"/>
    <w:rsid w:val="008138B3"/>
    <w:rsid w:val="00813993"/>
    <w:rsid w:val="00814244"/>
    <w:rsid w:val="008148BA"/>
    <w:rsid w:val="00814B2F"/>
    <w:rsid w:val="00814EB4"/>
    <w:rsid w:val="00814F01"/>
    <w:rsid w:val="00814F79"/>
    <w:rsid w:val="00815347"/>
    <w:rsid w:val="0081545E"/>
    <w:rsid w:val="00815610"/>
    <w:rsid w:val="00815CAA"/>
    <w:rsid w:val="0081634B"/>
    <w:rsid w:val="008163D3"/>
    <w:rsid w:val="00816405"/>
    <w:rsid w:val="008164DC"/>
    <w:rsid w:val="00816CA0"/>
    <w:rsid w:val="00817AC3"/>
    <w:rsid w:val="00820274"/>
    <w:rsid w:val="0082045C"/>
    <w:rsid w:val="008205DB"/>
    <w:rsid w:val="00820CA1"/>
    <w:rsid w:val="008210A2"/>
    <w:rsid w:val="00821437"/>
    <w:rsid w:val="00821511"/>
    <w:rsid w:val="00821720"/>
    <w:rsid w:val="00821C18"/>
    <w:rsid w:val="00821E54"/>
    <w:rsid w:val="00822DBD"/>
    <w:rsid w:val="00822F8A"/>
    <w:rsid w:val="0082327B"/>
    <w:rsid w:val="008232A8"/>
    <w:rsid w:val="00823B73"/>
    <w:rsid w:val="008241F2"/>
    <w:rsid w:val="0082486A"/>
    <w:rsid w:val="00825122"/>
    <w:rsid w:val="008253ED"/>
    <w:rsid w:val="0082544E"/>
    <w:rsid w:val="0082562B"/>
    <w:rsid w:val="00825958"/>
    <w:rsid w:val="00826156"/>
    <w:rsid w:val="00826232"/>
    <w:rsid w:val="0082697D"/>
    <w:rsid w:val="00827063"/>
    <w:rsid w:val="00827365"/>
    <w:rsid w:val="0082753D"/>
    <w:rsid w:val="00827610"/>
    <w:rsid w:val="0082763E"/>
    <w:rsid w:val="00827AA1"/>
    <w:rsid w:val="00827CE7"/>
    <w:rsid w:val="00827DF4"/>
    <w:rsid w:val="00827E06"/>
    <w:rsid w:val="00830337"/>
    <w:rsid w:val="0083041F"/>
    <w:rsid w:val="008305C9"/>
    <w:rsid w:val="008309D8"/>
    <w:rsid w:val="00830B9F"/>
    <w:rsid w:val="00831B76"/>
    <w:rsid w:val="00831E9B"/>
    <w:rsid w:val="00832174"/>
    <w:rsid w:val="008321DD"/>
    <w:rsid w:val="0083240D"/>
    <w:rsid w:val="008328B0"/>
    <w:rsid w:val="00832A03"/>
    <w:rsid w:val="00832BAB"/>
    <w:rsid w:val="00832C36"/>
    <w:rsid w:val="00833093"/>
    <w:rsid w:val="00833507"/>
    <w:rsid w:val="0083355F"/>
    <w:rsid w:val="00834369"/>
    <w:rsid w:val="00834413"/>
    <w:rsid w:val="00834FB9"/>
    <w:rsid w:val="00835475"/>
    <w:rsid w:val="00835568"/>
    <w:rsid w:val="008357E7"/>
    <w:rsid w:val="00835E67"/>
    <w:rsid w:val="00836740"/>
    <w:rsid w:val="00836A1B"/>
    <w:rsid w:val="00836E2A"/>
    <w:rsid w:val="008376EF"/>
    <w:rsid w:val="00837C11"/>
    <w:rsid w:val="008401CD"/>
    <w:rsid w:val="008402F4"/>
    <w:rsid w:val="008405A0"/>
    <w:rsid w:val="0084154A"/>
    <w:rsid w:val="008417C2"/>
    <w:rsid w:val="00841844"/>
    <w:rsid w:val="00842806"/>
    <w:rsid w:val="00842A10"/>
    <w:rsid w:val="00842C57"/>
    <w:rsid w:val="00843148"/>
    <w:rsid w:val="0084339F"/>
    <w:rsid w:val="00843523"/>
    <w:rsid w:val="00843857"/>
    <w:rsid w:val="00843DC3"/>
    <w:rsid w:val="00843EF3"/>
    <w:rsid w:val="00843FA8"/>
    <w:rsid w:val="008442EE"/>
    <w:rsid w:val="00844A32"/>
    <w:rsid w:val="008455D1"/>
    <w:rsid w:val="0084567A"/>
    <w:rsid w:val="0084568C"/>
    <w:rsid w:val="00845A41"/>
    <w:rsid w:val="00845D5C"/>
    <w:rsid w:val="00845ECD"/>
    <w:rsid w:val="00846054"/>
    <w:rsid w:val="0084616C"/>
    <w:rsid w:val="00846D74"/>
    <w:rsid w:val="008470E3"/>
    <w:rsid w:val="00847FF6"/>
    <w:rsid w:val="008504B7"/>
    <w:rsid w:val="00850BE1"/>
    <w:rsid w:val="00850E55"/>
    <w:rsid w:val="00851520"/>
    <w:rsid w:val="008519D4"/>
    <w:rsid w:val="00851ED7"/>
    <w:rsid w:val="00851FCA"/>
    <w:rsid w:val="0085217E"/>
    <w:rsid w:val="008521A6"/>
    <w:rsid w:val="00852560"/>
    <w:rsid w:val="008526D8"/>
    <w:rsid w:val="00852862"/>
    <w:rsid w:val="00852AF6"/>
    <w:rsid w:val="00852B5C"/>
    <w:rsid w:val="0085449B"/>
    <w:rsid w:val="008545AA"/>
    <w:rsid w:val="00854667"/>
    <w:rsid w:val="008546E9"/>
    <w:rsid w:val="00854B16"/>
    <w:rsid w:val="00855779"/>
    <w:rsid w:val="00855B41"/>
    <w:rsid w:val="00855E99"/>
    <w:rsid w:val="00856081"/>
    <w:rsid w:val="00857324"/>
    <w:rsid w:val="00857A8F"/>
    <w:rsid w:val="00857D59"/>
    <w:rsid w:val="00857F90"/>
    <w:rsid w:val="00860377"/>
    <w:rsid w:val="008605DA"/>
    <w:rsid w:val="00860EFA"/>
    <w:rsid w:val="00861036"/>
    <w:rsid w:val="008613E3"/>
    <w:rsid w:val="008618FA"/>
    <w:rsid w:val="00861F3F"/>
    <w:rsid w:val="008620B6"/>
    <w:rsid w:val="008623C9"/>
    <w:rsid w:val="00862464"/>
    <w:rsid w:val="00862E96"/>
    <w:rsid w:val="008633F8"/>
    <w:rsid w:val="00863507"/>
    <w:rsid w:val="00863A37"/>
    <w:rsid w:val="008640BD"/>
    <w:rsid w:val="00864998"/>
    <w:rsid w:val="00864F6A"/>
    <w:rsid w:val="00865232"/>
    <w:rsid w:val="008655D1"/>
    <w:rsid w:val="008667A0"/>
    <w:rsid w:val="008669C7"/>
    <w:rsid w:val="00866C42"/>
    <w:rsid w:val="00866CD2"/>
    <w:rsid w:val="00866E7D"/>
    <w:rsid w:val="00867E14"/>
    <w:rsid w:val="008703EC"/>
    <w:rsid w:val="00870580"/>
    <w:rsid w:val="0087143C"/>
    <w:rsid w:val="00871A64"/>
    <w:rsid w:val="00872CCF"/>
    <w:rsid w:val="00872D3C"/>
    <w:rsid w:val="008735B9"/>
    <w:rsid w:val="008736BB"/>
    <w:rsid w:val="00873FF1"/>
    <w:rsid w:val="0087459A"/>
    <w:rsid w:val="00874D48"/>
    <w:rsid w:val="008750A3"/>
    <w:rsid w:val="00875600"/>
    <w:rsid w:val="00875970"/>
    <w:rsid w:val="00876104"/>
    <w:rsid w:val="00876193"/>
    <w:rsid w:val="008761EE"/>
    <w:rsid w:val="008764F1"/>
    <w:rsid w:val="0087690A"/>
    <w:rsid w:val="00877415"/>
    <w:rsid w:val="00877850"/>
    <w:rsid w:val="008779AE"/>
    <w:rsid w:val="00877E25"/>
    <w:rsid w:val="00877F8A"/>
    <w:rsid w:val="0088019E"/>
    <w:rsid w:val="008807F3"/>
    <w:rsid w:val="00880CD8"/>
    <w:rsid w:val="00880D90"/>
    <w:rsid w:val="00880EED"/>
    <w:rsid w:val="00881337"/>
    <w:rsid w:val="008813EA"/>
    <w:rsid w:val="008814BD"/>
    <w:rsid w:val="00881A0D"/>
    <w:rsid w:val="008828B1"/>
    <w:rsid w:val="00882BB0"/>
    <w:rsid w:val="00882EBD"/>
    <w:rsid w:val="008844CC"/>
    <w:rsid w:val="00884539"/>
    <w:rsid w:val="00885172"/>
    <w:rsid w:val="008851B3"/>
    <w:rsid w:val="008856A3"/>
    <w:rsid w:val="0088575E"/>
    <w:rsid w:val="00885A07"/>
    <w:rsid w:val="00885B6B"/>
    <w:rsid w:val="00886367"/>
    <w:rsid w:val="008868CB"/>
    <w:rsid w:val="00886AF1"/>
    <w:rsid w:val="00886E02"/>
    <w:rsid w:val="00886FEC"/>
    <w:rsid w:val="008870C8"/>
    <w:rsid w:val="00887E67"/>
    <w:rsid w:val="0089084A"/>
    <w:rsid w:val="00890C26"/>
    <w:rsid w:val="00891093"/>
    <w:rsid w:val="0089113F"/>
    <w:rsid w:val="00891525"/>
    <w:rsid w:val="00891A76"/>
    <w:rsid w:val="00892742"/>
    <w:rsid w:val="0089297B"/>
    <w:rsid w:val="00892BF7"/>
    <w:rsid w:val="008930ED"/>
    <w:rsid w:val="0089335D"/>
    <w:rsid w:val="008933C2"/>
    <w:rsid w:val="008936DC"/>
    <w:rsid w:val="00893A6F"/>
    <w:rsid w:val="00894279"/>
    <w:rsid w:val="008945AB"/>
    <w:rsid w:val="00894F7B"/>
    <w:rsid w:val="00895044"/>
    <w:rsid w:val="0089599D"/>
    <w:rsid w:val="00895A13"/>
    <w:rsid w:val="00895DB3"/>
    <w:rsid w:val="008962D6"/>
    <w:rsid w:val="008968A5"/>
    <w:rsid w:val="008969F9"/>
    <w:rsid w:val="00896B0F"/>
    <w:rsid w:val="00896BEB"/>
    <w:rsid w:val="008971AF"/>
    <w:rsid w:val="0089754F"/>
    <w:rsid w:val="00897FE2"/>
    <w:rsid w:val="008A03B4"/>
    <w:rsid w:val="008A10EA"/>
    <w:rsid w:val="008A1D51"/>
    <w:rsid w:val="008A1DE3"/>
    <w:rsid w:val="008A24E1"/>
    <w:rsid w:val="008A2765"/>
    <w:rsid w:val="008A29EF"/>
    <w:rsid w:val="008A2BB7"/>
    <w:rsid w:val="008A2CC0"/>
    <w:rsid w:val="008A30E0"/>
    <w:rsid w:val="008A31D5"/>
    <w:rsid w:val="008A3472"/>
    <w:rsid w:val="008A3715"/>
    <w:rsid w:val="008A3AE9"/>
    <w:rsid w:val="008A4BFA"/>
    <w:rsid w:val="008A5C17"/>
    <w:rsid w:val="008A5C7E"/>
    <w:rsid w:val="008A5F8B"/>
    <w:rsid w:val="008A60B9"/>
    <w:rsid w:val="008A6602"/>
    <w:rsid w:val="008A6FC4"/>
    <w:rsid w:val="008A7660"/>
    <w:rsid w:val="008A7B81"/>
    <w:rsid w:val="008A7CB5"/>
    <w:rsid w:val="008B0E0B"/>
    <w:rsid w:val="008B0F4C"/>
    <w:rsid w:val="008B1203"/>
    <w:rsid w:val="008B122E"/>
    <w:rsid w:val="008B1808"/>
    <w:rsid w:val="008B2156"/>
    <w:rsid w:val="008B2E7E"/>
    <w:rsid w:val="008B3246"/>
    <w:rsid w:val="008B366A"/>
    <w:rsid w:val="008B3785"/>
    <w:rsid w:val="008B47E3"/>
    <w:rsid w:val="008B4C85"/>
    <w:rsid w:val="008B4E73"/>
    <w:rsid w:val="008B4FF3"/>
    <w:rsid w:val="008B50D9"/>
    <w:rsid w:val="008B52EE"/>
    <w:rsid w:val="008B544B"/>
    <w:rsid w:val="008B564F"/>
    <w:rsid w:val="008B5D30"/>
    <w:rsid w:val="008B6464"/>
    <w:rsid w:val="008B649A"/>
    <w:rsid w:val="008B6677"/>
    <w:rsid w:val="008B6D70"/>
    <w:rsid w:val="008B77B3"/>
    <w:rsid w:val="008B7AFD"/>
    <w:rsid w:val="008C028D"/>
    <w:rsid w:val="008C05C0"/>
    <w:rsid w:val="008C08B5"/>
    <w:rsid w:val="008C1C5B"/>
    <w:rsid w:val="008C23B2"/>
    <w:rsid w:val="008C2D11"/>
    <w:rsid w:val="008C30D0"/>
    <w:rsid w:val="008C3528"/>
    <w:rsid w:val="008C375C"/>
    <w:rsid w:val="008C38A6"/>
    <w:rsid w:val="008C3C1E"/>
    <w:rsid w:val="008C3FDC"/>
    <w:rsid w:val="008C431A"/>
    <w:rsid w:val="008C489C"/>
    <w:rsid w:val="008C4A7D"/>
    <w:rsid w:val="008C4F22"/>
    <w:rsid w:val="008C5037"/>
    <w:rsid w:val="008C57D4"/>
    <w:rsid w:val="008C58B0"/>
    <w:rsid w:val="008C59E2"/>
    <w:rsid w:val="008C59E9"/>
    <w:rsid w:val="008C600D"/>
    <w:rsid w:val="008C6167"/>
    <w:rsid w:val="008C6C74"/>
    <w:rsid w:val="008C6F00"/>
    <w:rsid w:val="008C727A"/>
    <w:rsid w:val="008C7709"/>
    <w:rsid w:val="008C7B86"/>
    <w:rsid w:val="008D0533"/>
    <w:rsid w:val="008D0CC1"/>
    <w:rsid w:val="008D1133"/>
    <w:rsid w:val="008D1820"/>
    <w:rsid w:val="008D1905"/>
    <w:rsid w:val="008D19A3"/>
    <w:rsid w:val="008D2282"/>
    <w:rsid w:val="008D22FD"/>
    <w:rsid w:val="008D245D"/>
    <w:rsid w:val="008D2661"/>
    <w:rsid w:val="008D2A64"/>
    <w:rsid w:val="008D336A"/>
    <w:rsid w:val="008D352E"/>
    <w:rsid w:val="008D35DB"/>
    <w:rsid w:val="008D3869"/>
    <w:rsid w:val="008D391D"/>
    <w:rsid w:val="008D3E9C"/>
    <w:rsid w:val="008D4876"/>
    <w:rsid w:val="008D5762"/>
    <w:rsid w:val="008D584F"/>
    <w:rsid w:val="008D59B4"/>
    <w:rsid w:val="008D5B56"/>
    <w:rsid w:val="008D5CCB"/>
    <w:rsid w:val="008D607D"/>
    <w:rsid w:val="008D653B"/>
    <w:rsid w:val="008D656E"/>
    <w:rsid w:val="008D68BB"/>
    <w:rsid w:val="008D6B09"/>
    <w:rsid w:val="008D6EBD"/>
    <w:rsid w:val="008D7C09"/>
    <w:rsid w:val="008D7C2C"/>
    <w:rsid w:val="008D7C89"/>
    <w:rsid w:val="008D7E5A"/>
    <w:rsid w:val="008E002A"/>
    <w:rsid w:val="008E0160"/>
    <w:rsid w:val="008E026C"/>
    <w:rsid w:val="008E04C4"/>
    <w:rsid w:val="008E06D2"/>
    <w:rsid w:val="008E09D2"/>
    <w:rsid w:val="008E0CAE"/>
    <w:rsid w:val="008E0EAE"/>
    <w:rsid w:val="008E0FC0"/>
    <w:rsid w:val="008E1D6C"/>
    <w:rsid w:val="008E1EC3"/>
    <w:rsid w:val="008E2442"/>
    <w:rsid w:val="008E3822"/>
    <w:rsid w:val="008E3EC9"/>
    <w:rsid w:val="008E405C"/>
    <w:rsid w:val="008E46DE"/>
    <w:rsid w:val="008E493A"/>
    <w:rsid w:val="008E4A52"/>
    <w:rsid w:val="008E55BE"/>
    <w:rsid w:val="008E5B6A"/>
    <w:rsid w:val="008E6688"/>
    <w:rsid w:val="008E6B74"/>
    <w:rsid w:val="008E6C14"/>
    <w:rsid w:val="008E6C9A"/>
    <w:rsid w:val="008E6E57"/>
    <w:rsid w:val="008E744E"/>
    <w:rsid w:val="008E75D8"/>
    <w:rsid w:val="008E7619"/>
    <w:rsid w:val="008E79D3"/>
    <w:rsid w:val="008E7E7E"/>
    <w:rsid w:val="008F0382"/>
    <w:rsid w:val="008F0C79"/>
    <w:rsid w:val="008F102A"/>
    <w:rsid w:val="008F131F"/>
    <w:rsid w:val="008F1666"/>
    <w:rsid w:val="008F1E3A"/>
    <w:rsid w:val="008F1F44"/>
    <w:rsid w:val="008F221A"/>
    <w:rsid w:val="008F25CD"/>
    <w:rsid w:val="008F25CE"/>
    <w:rsid w:val="008F2EA2"/>
    <w:rsid w:val="008F3E04"/>
    <w:rsid w:val="008F3FC2"/>
    <w:rsid w:val="008F41C6"/>
    <w:rsid w:val="008F41E4"/>
    <w:rsid w:val="008F4DEE"/>
    <w:rsid w:val="008F4E2E"/>
    <w:rsid w:val="008F4E44"/>
    <w:rsid w:val="008F52EB"/>
    <w:rsid w:val="008F5880"/>
    <w:rsid w:val="008F5C63"/>
    <w:rsid w:val="008F60BC"/>
    <w:rsid w:val="008F69E8"/>
    <w:rsid w:val="008F6A11"/>
    <w:rsid w:val="008F6E57"/>
    <w:rsid w:val="008F6EB7"/>
    <w:rsid w:val="008F72D9"/>
    <w:rsid w:val="008F7779"/>
    <w:rsid w:val="008F7D0C"/>
    <w:rsid w:val="008F7EA7"/>
    <w:rsid w:val="0090006F"/>
    <w:rsid w:val="00900262"/>
    <w:rsid w:val="0090074B"/>
    <w:rsid w:val="00900DFE"/>
    <w:rsid w:val="00900E20"/>
    <w:rsid w:val="00901346"/>
    <w:rsid w:val="0090156D"/>
    <w:rsid w:val="00901AE8"/>
    <w:rsid w:val="00901BCF"/>
    <w:rsid w:val="009031B7"/>
    <w:rsid w:val="00903FBF"/>
    <w:rsid w:val="00903FC1"/>
    <w:rsid w:val="0090445B"/>
    <w:rsid w:val="0090471F"/>
    <w:rsid w:val="00904D06"/>
    <w:rsid w:val="00905928"/>
    <w:rsid w:val="00905BE2"/>
    <w:rsid w:val="00905DE4"/>
    <w:rsid w:val="00905F67"/>
    <w:rsid w:val="00906295"/>
    <w:rsid w:val="009063DE"/>
    <w:rsid w:val="00906C1D"/>
    <w:rsid w:val="009075FA"/>
    <w:rsid w:val="00907788"/>
    <w:rsid w:val="00907802"/>
    <w:rsid w:val="00907836"/>
    <w:rsid w:val="00907BF8"/>
    <w:rsid w:val="00907D0F"/>
    <w:rsid w:val="00910252"/>
    <w:rsid w:val="009104C8"/>
    <w:rsid w:val="009105FE"/>
    <w:rsid w:val="009107A9"/>
    <w:rsid w:val="0091088D"/>
    <w:rsid w:val="00910B9A"/>
    <w:rsid w:val="00910E2F"/>
    <w:rsid w:val="009110B9"/>
    <w:rsid w:val="0091144F"/>
    <w:rsid w:val="009115CF"/>
    <w:rsid w:val="00911AC2"/>
    <w:rsid w:val="009120AE"/>
    <w:rsid w:val="00912473"/>
    <w:rsid w:val="0091281B"/>
    <w:rsid w:val="00912C28"/>
    <w:rsid w:val="00912C9B"/>
    <w:rsid w:val="00913340"/>
    <w:rsid w:val="009136C4"/>
    <w:rsid w:val="00913827"/>
    <w:rsid w:val="009138F5"/>
    <w:rsid w:val="009140CE"/>
    <w:rsid w:val="00914811"/>
    <w:rsid w:val="009158CE"/>
    <w:rsid w:val="00915BDF"/>
    <w:rsid w:val="009162EA"/>
    <w:rsid w:val="0091673A"/>
    <w:rsid w:val="009167B7"/>
    <w:rsid w:val="00920053"/>
    <w:rsid w:val="009200AF"/>
    <w:rsid w:val="009200B2"/>
    <w:rsid w:val="009207EE"/>
    <w:rsid w:val="00920E26"/>
    <w:rsid w:val="009217B5"/>
    <w:rsid w:val="00921935"/>
    <w:rsid w:val="00921970"/>
    <w:rsid w:val="00921B6F"/>
    <w:rsid w:val="00921E5E"/>
    <w:rsid w:val="00921FAA"/>
    <w:rsid w:val="00922469"/>
    <w:rsid w:val="00922A2C"/>
    <w:rsid w:val="00922A8A"/>
    <w:rsid w:val="00922B9C"/>
    <w:rsid w:val="00923042"/>
    <w:rsid w:val="0092359B"/>
    <w:rsid w:val="0092362E"/>
    <w:rsid w:val="00923C7A"/>
    <w:rsid w:val="0092413B"/>
    <w:rsid w:val="00924454"/>
    <w:rsid w:val="00924849"/>
    <w:rsid w:val="00924A00"/>
    <w:rsid w:val="00924A76"/>
    <w:rsid w:val="00924B1C"/>
    <w:rsid w:val="00924D8E"/>
    <w:rsid w:val="00925057"/>
    <w:rsid w:val="00925110"/>
    <w:rsid w:val="009251C3"/>
    <w:rsid w:val="00925789"/>
    <w:rsid w:val="00925963"/>
    <w:rsid w:val="00926B3F"/>
    <w:rsid w:val="00926E21"/>
    <w:rsid w:val="0092728A"/>
    <w:rsid w:val="00927AC3"/>
    <w:rsid w:val="00930073"/>
    <w:rsid w:val="009302C6"/>
    <w:rsid w:val="0093049E"/>
    <w:rsid w:val="00930705"/>
    <w:rsid w:val="009309FA"/>
    <w:rsid w:val="00930B17"/>
    <w:rsid w:val="00930C8C"/>
    <w:rsid w:val="00930F1F"/>
    <w:rsid w:val="00930FCD"/>
    <w:rsid w:val="00931083"/>
    <w:rsid w:val="00931828"/>
    <w:rsid w:val="009318D4"/>
    <w:rsid w:val="00931EC1"/>
    <w:rsid w:val="00931EC3"/>
    <w:rsid w:val="00932952"/>
    <w:rsid w:val="00932B2D"/>
    <w:rsid w:val="00933373"/>
    <w:rsid w:val="009337DE"/>
    <w:rsid w:val="009337E3"/>
    <w:rsid w:val="00933E18"/>
    <w:rsid w:val="009352CD"/>
    <w:rsid w:val="00935B3A"/>
    <w:rsid w:val="00935C3B"/>
    <w:rsid w:val="00935FFD"/>
    <w:rsid w:val="00936661"/>
    <w:rsid w:val="009366B9"/>
    <w:rsid w:val="00936C26"/>
    <w:rsid w:val="00936CC7"/>
    <w:rsid w:val="00937563"/>
    <w:rsid w:val="00937DEC"/>
    <w:rsid w:val="00937EB6"/>
    <w:rsid w:val="009406F9"/>
    <w:rsid w:val="00940AEB"/>
    <w:rsid w:val="00940B04"/>
    <w:rsid w:val="00940C84"/>
    <w:rsid w:val="00941FE7"/>
    <w:rsid w:val="0094209D"/>
    <w:rsid w:val="00942281"/>
    <w:rsid w:val="00942605"/>
    <w:rsid w:val="009429DE"/>
    <w:rsid w:val="00942BBC"/>
    <w:rsid w:val="00942FC8"/>
    <w:rsid w:val="009431BB"/>
    <w:rsid w:val="00943735"/>
    <w:rsid w:val="00943833"/>
    <w:rsid w:val="00943B30"/>
    <w:rsid w:val="0094410B"/>
    <w:rsid w:val="00944636"/>
    <w:rsid w:val="00944750"/>
    <w:rsid w:val="0094480C"/>
    <w:rsid w:val="00944A0A"/>
    <w:rsid w:val="00944AAF"/>
    <w:rsid w:val="00944CC5"/>
    <w:rsid w:val="00945263"/>
    <w:rsid w:val="00945318"/>
    <w:rsid w:val="00945D3B"/>
    <w:rsid w:val="00945D92"/>
    <w:rsid w:val="00946035"/>
    <w:rsid w:val="009466C4"/>
    <w:rsid w:val="009468A0"/>
    <w:rsid w:val="009469B0"/>
    <w:rsid w:val="00946D6D"/>
    <w:rsid w:val="00946E5F"/>
    <w:rsid w:val="00946FC3"/>
    <w:rsid w:val="00947023"/>
    <w:rsid w:val="0094720D"/>
    <w:rsid w:val="00947344"/>
    <w:rsid w:val="009479BA"/>
    <w:rsid w:val="00947CD8"/>
    <w:rsid w:val="009500A1"/>
    <w:rsid w:val="0095069E"/>
    <w:rsid w:val="00950F4C"/>
    <w:rsid w:val="009511C8"/>
    <w:rsid w:val="00951738"/>
    <w:rsid w:val="00951D5B"/>
    <w:rsid w:val="00952432"/>
    <w:rsid w:val="0095285A"/>
    <w:rsid w:val="00952C9E"/>
    <w:rsid w:val="00952D1A"/>
    <w:rsid w:val="00952DB1"/>
    <w:rsid w:val="0095381F"/>
    <w:rsid w:val="009538BF"/>
    <w:rsid w:val="00953973"/>
    <w:rsid w:val="00955679"/>
    <w:rsid w:val="00955766"/>
    <w:rsid w:val="0095576C"/>
    <w:rsid w:val="00955A27"/>
    <w:rsid w:val="009561B5"/>
    <w:rsid w:val="0095635D"/>
    <w:rsid w:val="00956747"/>
    <w:rsid w:val="009567D9"/>
    <w:rsid w:val="009569C3"/>
    <w:rsid w:val="00956E4B"/>
    <w:rsid w:val="009572F1"/>
    <w:rsid w:val="00957BD4"/>
    <w:rsid w:val="0096020F"/>
    <w:rsid w:val="0096077A"/>
    <w:rsid w:val="009607D0"/>
    <w:rsid w:val="00960B74"/>
    <w:rsid w:val="00961391"/>
    <w:rsid w:val="00961425"/>
    <w:rsid w:val="009614E0"/>
    <w:rsid w:val="009614E8"/>
    <w:rsid w:val="00961684"/>
    <w:rsid w:val="009618A4"/>
    <w:rsid w:val="009618E2"/>
    <w:rsid w:val="009619CB"/>
    <w:rsid w:val="0096262E"/>
    <w:rsid w:val="009627A0"/>
    <w:rsid w:val="00962C8A"/>
    <w:rsid w:val="009632C8"/>
    <w:rsid w:val="009639E6"/>
    <w:rsid w:val="00963A44"/>
    <w:rsid w:val="00963E3B"/>
    <w:rsid w:val="009645EC"/>
    <w:rsid w:val="00964BF0"/>
    <w:rsid w:val="00964D78"/>
    <w:rsid w:val="00965019"/>
    <w:rsid w:val="009654B7"/>
    <w:rsid w:val="00965741"/>
    <w:rsid w:val="00965A7A"/>
    <w:rsid w:val="0096610F"/>
    <w:rsid w:val="0096652A"/>
    <w:rsid w:val="009674E4"/>
    <w:rsid w:val="00967786"/>
    <w:rsid w:val="00967883"/>
    <w:rsid w:val="00967DFC"/>
    <w:rsid w:val="009701EB"/>
    <w:rsid w:val="00970827"/>
    <w:rsid w:val="00970DA9"/>
    <w:rsid w:val="00971098"/>
    <w:rsid w:val="009710F2"/>
    <w:rsid w:val="009712C3"/>
    <w:rsid w:val="00971707"/>
    <w:rsid w:val="00971D73"/>
    <w:rsid w:val="009724F8"/>
    <w:rsid w:val="0097254B"/>
    <w:rsid w:val="00972C9A"/>
    <w:rsid w:val="009736D0"/>
    <w:rsid w:val="00973ABC"/>
    <w:rsid w:val="00973B95"/>
    <w:rsid w:val="009740F0"/>
    <w:rsid w:val="009745DE"/>
    <w:rsid w:val="009745FF"/>
    <w:rsid w:val="00974976"/>
    <w:rsid w:val="0097532B"/>
    <w:rsid w:val="00975349"/>
    <w:rsid w:val="0097552E"/>
    <w:rsid w:val="00975D3F"/>
    <w:rsid w:val="00975FF0"/>
    <w:rsid w:val="009761B7"/>
    <w:rsid w:val="0097630C"/>
    <w:rsid w:val="00976EC4"/>
    <w:rsid w:val="009772A8"/>
    <w:rsid w:val="00977586"/>
    <w:rsid w:val="0097774B"/>
    <w:rsid w:val="009777F1"/>
    <w:rsid w:val="009779F0"/>
    <w:rsid w:val="0098038A"/>
    <w:rsid w:val="00980BC3"/>
    <w:rsid w:val="00980E25"/>
    <w:rsid w:val="0098106B"/>
    <w:rsid w:val="009810C1"/>
    <w:rsid w:val="00981167"/>
    <w:rsid w:val="009814AC"/>
    <w:rsid w:val="009815C4"/>
    <w:rsid w:val="00981D7F"/>
    <w:rsid w:val="00982246"/>
    <w:rsid w:val="0098260D"/>
    <w:rsid w:val="00982CD1"/>
    <w:rsid w:val="00982D4C"/>
    <w:rsid w:val="00983454"/>
    <w:rsid w:val="009834B3"/>
    <w:rsid w:val="009834B4"/>
    <w:rsid w:val="00983795"/>
    <w:rsid w:val="00983D8D"/>
    <w:rsid w:val="00983EE1"/>
    <w:rsid w:val="00984C55"/>
    <w:rsid w:val="009852DE"/>
    <w:rsid w:val="009854F5"/>
    <w:rsid w:val="00985DAC"/>
    <w:rsid w:val="00985F16"/>
    <w:rsid w:val="00985F88"/>
    <w:rsid w:val="009861ED"/>
    <w:rsid w:val="00986263"/>
    <w:rsid w:val="009866C1"/>
    <w:rsid w:val="0098747D"/>
    <w:rsid w:val="0099023F"/>
    <w:rsid w:val="0099052A"/>
    <w:rsid w:val="0099078E"/>
    <w:rsid w:val="00990EB2"/>
    <w:rsid w:val="00991112"/>
    <w:rsid w:val="00991259"/>
    <w:rsid w:val="009917A9"/>
    <w:rsid w:val="00992345"/>
    <w:rsid w:val="0099278A"/>
    <w:rsid w:val="00992B47"/>
    <w:rsid w:val="00992C6D"/>
    <w:rsid w:val="00992D0C"/>
    <w:rsid w:val="00992D2C"/>
    <w:rsid w:val="00993068"/>
    <w:rsid w:val="00993227"/>
    <w:rsid w:val="0099339D"/>
    <w:rsid w:val="00993479"/>
    <w:rsid w:val="00993903"/>
    <w:rsid w:val="00993C18"/>
    <w:rsid w:val="00993ED6"/>
    <w:rsid w:val="009943D6"/>
    <w:rsid w:val="009948ED"/>
    <w:rsid w:val="009949B2"/>
    <w:rsid w:val="00994BAB"/>
    <w:rsid w:val="00994F90"/>
    <w:rsid w:val="00994F9A"/>
    <w:rsid w:val="009950C4"/>
    <w:rsid w:val="00995514"/>
    <w:rsid w:val="00995DBF"/>
    <w:rsid w:val="00995F51"/>
    <w:rsid w:val="009961A9"/>
    <w:rsid w:val="0099663C"/>
    <w:rsid w:val="009967AC"/>
    <w:rsid w:val="00996F9C"/>
    <w:rsid w:val="009972DC"/>
    <w:rsid w:val="0099779E"/>
    <w:rsid w:val="00997A2A"/>
    <w:rsid w:val="009A0451"/>
    <w:rsid w:val="009A052D"/>
    <w:rsid w:val="009A0731"/>
    <w:rsid w:val="009A0D64"/>
    <w:rsid w:val="009A15E7"/>
    <w:rsid w:val="009A1680"/>
    <w:rsid w:val="009A1867"/>
    <w:rsid w:val="009A1EBA"/>
    <w:rsid w:val="009A228F"/>
    <w:rsid w:val="009A255A"/>
    <w:rsid w:val="009A25B5"/>
    <w:rsid w:val="009A26F8"/>
    <w:rsid w:val="009A33CF"/>
    <w:rsid w:val="009A3689"/>
    <w:rsid w:val="009A3EBD"/>
    <w:rsid w:val="009A3EE1"/>
    <w:rsid w:val="009A4969"/>
    <w:rsid w:val="009A4EC6"/>
    <w:rsid w:val="009A53E2"/>
    <w:rsid w:val="009A53FD"/>
    <w:rsid w:val="009A5A4E"/>
    <w:rsid w:val="009A5A68"/>
    <w:rsid w:val="009A658D"/>
    <w:rsid w:val="009A6718"/>
    <w:rsid w:val="009A68A9"/>
    <w:rsid w:val="009A6B43"/>
    <w:rsid w:val="009A6D49"/>
    <w:rsid w:val="009B06BD"/>
    <w:rsid w:val="009B07E9"/>
    <w:rsid w:val="009B0E10"/>
    <w:rsid w:val="009B1741"/>
    <w:rsid w:val="009B1AD6"/>
    <w:rsid w:val="009B2D69"/>
    <w:rsid w:val="009B345E"/>
    <w:rsid w:val="009B3B54"/>
    <w:rsid w:val="009B3F18"/>
    <w:rsid w:val="009B4095"/>
    <w:rsid w:val="009B455E"/>
    <w:rsid w:val="009B475B"/>
    <w:rsid w:val="009B48A9"/>
    <w:rsid w:val="009B4B63"/>
    <w:rsid w:val="009B5C65"/>
    <w:rsid w:val="009B5FC1"/>
    <w:rsid w:val="009B657A"/>
    <w:rsid w:val="009B6CB4"/>
    <w:rsid w:val="009B7AC1"/>
    <w:rsid w:val="009B7C44"/>
    <w:rsid w:val="009C0EB2"/>
    <w:rsid w:val="009C1606"/>
    <w:rsid w:val="009C160C"/>
    <w:rsid w:val="009C1FE8"/>
    <w:rsid w:val="009C27C1"/>
    <w:rsid w:val="009C2960"/>
    <w:rsid w:val="009C3282"/>
    <w:rsid w:val="009C32DE"/>
    <w:rsid w:val="009C38B0"/>
    <w:rsid w:val="009C39E5"/>
    <w:rsid w:val="009C3BFF"/>
    <w:rsid w:val="009C3DAD"/>
    <w:rsid w:val="009C3E15"/>
    <w:rsid w:val="009C3E8B"/>
    <w:rsid w:val="009C445C"/>
    <w:rsid w:val="009C49A8"/>
    <w:rsid w:val="009C52F3"/>
    <w:rsid w:val="009C5648"/>
    <w:rsid w:val="009C5B6B"/>
    <w:rsid w:val="009C5F8A"/>
    <w:rsid w:val="009C622B"/>
    <w:rsid w:val="009C650D"/>
    <w:rsid w:val="009C65A5"/>
    <w:rsid w:val="009C71F5"/>
    <w:rsid w:val="009C731D"/>
    <w:rsid w:val="009C7AF7"/>
    <w:rsid w:val="009C7B47"/>
    <w:rsid w:val="009C7F51"/>
    <w:rsid w:val="009D01F4"/>
    <w:rsid w:val="009D066A"/>
    <w:rsid w:val="009D0A72"/>
    <w:rsid w:val="009D0F10"/>
    <w:rsid w:val="009D1397"/>
    <w:rsid w:val="009D1471"/>
    <w:rsid w:val="009D1C31"/>
    <w:rsid w:val="009D21A5"/>
    <w:rsid w:val="009D2767"/>
    <w:rsid w:val="009D2BD8"/>
    <w:rsid w:val="009D3066"/>
    <w:rsid w:val="009D31C6"/>
    <w:rsid w:val="009D365B"/>
    <w:rsid w:val="009D3995"/>
    <w:rsid w:val="009D4633"/>
    <w:rsid w:val="009D47D3"/>
    <w:rsid w:val="009D4936"/>
    <w:rsid w:val="009D565C"/>
    <w:rsid w:val="009D5CEB"/>
    <w:rsid w:val="009D5EC6"/>
    <w:rsid w:val="009D6121"/>
    <w:rsid w:val="009D67B4"/>
    <w:rsid w:val="009D6C54"/>
    <w:rsid w:val="009D7809"/>
    <w:rsid w:val="009D7855"/>
    <w:rsid w:val="009D7CCD"/>
    <w:rsid w:val="009D7DCA"/>
    <w:rsid w:val="009E0567"/>
    <w:rsid w:val="009E0763"/>
    <w:rsid w:val="009E08D3"/>
    <w:rsid w:val="009E0D83"/>
    <w:rsid w:val="009E0E64"/>
    <w:rsid w:val="009E11BC"/>
    <w:rsid w:val="009E185E"/>
    <w:rsid w:val="009E1896"/>
    <w:rsid w:val="009E19B3"/>
    <w:rsid w:val="009E1E9D"/>
    <w:rsid w:val="009E2058"/>
    <w:rsid w:val="009E23EF"/>
    <w:rsid w:val="009E24B4"/>
    <w:rsid w:val="009E28B6"/>
    <w:rsid w:val="009E2904"/>
    <w:rsid w:val="009E2949"/>
    <w:rsid w:val="009E3C89"/>
    <w:rsid w:val="009E40BF"/>
    <w:rsid w:val="009E4283"/>
    <w:rsid w:val="009E47C0"/>
    <w:rsid w:val="009E4B12"/>
    <w:rsid w:val="009E4BA5"/>
    <w:rsid w:val="009E4BB0"/>
    <w:rsid w:val="009E4F8B"/>
    <w:rsid w:val="009E4FC5"/>
    <w:rsid w:val="009E52C1"/>
    <w:rsid w:val="009E5A6D"/>
    <w:rsid w:val="009E5AF5"/>
    <w:rsid w:val="009E5F8E"/>
    <w:rsid w:val="009E60CB"/>
    <w:rsid w:val="009E6357"/>
    <w:rsid w:val="009E6CE0"/>
    <w:rsid w:val="009E7751"/>
    <w:rsid w:val="009E7EB8"/>
    <w:rsid w:val="009E7FF0"/>
    <w:rsid w:val="009F01A3"/>
    <w:rsid w:val="009F01DB"/>
    <w:rsid w:val="009F0654"/>
    <w:rsid w:val="009F0658"/>
    <w:rsid w:val="009F16D4"/>
    <w:rsid w:val="009F189A"/>
    <w:rsid w:val="009F2670"/>
    <w:rsid w:val="009F3125"/>
    <w:rsid w:val="009F3384"/>
    <w:rsid w:val="009F338C"/>
    <w:rsid w:val="009F35AF"/>
    <w:rsid w:val="009F366E"/>
    <w:rsid w:val="009F3762"/>
    <w:rsid w:val="009F3DBE"/>
    <w:rsid w:val="009F41B6"/>
    <w:rsid w:val="009F4617"/>
    <w:rsid w:val="009F47DC"/>
    <w:rsid w:val="009F4DF5"/>
    <w:rsid w:val="009F5252"/>
    <w:rsid w:val="009F528B"/>
    <w:rsid w:val="009F5B16"/>
    <w:rsid w:val="009F5C1A"/>
    <w:rsid w:val="009F5C4D"/>
    <w:rsid w:val="009F5D1A"/>
    <w:rsid w:val="009F5DC6"/>
    <w:rsid w:val="009F5EAD"/>
    <w:rsid w:val="009F61B9"/>
    <w:rsid w:val="009F6465"/>
    <w:rsid w:val="009F66AC"/>
    <w:rsid w:val="009F6A1E"/>
    <w:rsid w:val="009F6EC5"/>
    <w:rsid w:val="009F71B9"/>
    <w:rsid w:val="009F7332"/>
    <w:rsid w:val="009F78AC"/>
    <w:rsid w:val="00A000D2"/>
    <w:rsid w:val="00A00D2F"/>
    <w:rsid w:val="00A00D90"/>
    <w:rsid w:val="00A012C3"/>
    <w:rsid w:val="00A01458"/>
    <w:rsid w:val="00A01515"/>
    <w:rsid w:val="00A01562"/>
    <w:rsid w:val="00A01B97"/>
    <w:rsid w:val="00A01E28"/>
    <w:rsid w:val="00A024B1"/>
    <w:rsid w:val="00A0299A"/>
    <w:rsid w:val="00A02C15"/>
    <w:rsid w:val="00A037DA"/>
    <w:rsid w:val="00A03E3A"/>
    <w:rsid w:val="00A03FED"/>
    <w:rsid w:val="00A0419A"/>
    <w:rsid w:val="00A05806"/>
    <w:rsid w:val="00A05A8D"/>
    <w:rsid w:val="00A06386"/>
    <w:rsid w:val="00A067E3"/>
    <w:rsid w:val="00A069DF"/>
    <w:rsid w:val="00A100FF"/>
    <w:rsid w:val="00A1087E"/>
    <w:rsid w:val="00A1142B"/>
    <w:rsid w:val="00A11689"/>
    <w:rsid w:val="00A11859"/>
    <w:rsid w:val="00A118A5"/>
    <w:rsid w:val="00A11C39"/>
    <w:rsid w:val="00A12032"/>
    <w:rsid w:val="00A12278"/>
    <w:rsid w:val="00A123AF"/>
    <w:rsid w:val="00A1241D"/>
    <w:rsid w:val="00A125C1"/>
    <w:rsid w:val="00A12A0C"/>
    <w:rsid w:val="00A12BF5"/>
    <w:rsid w:val="00A13105"/>
    <w:rsid w:val="00A13225"/>
    <w:rsid w:val="00A13FB1"/>
    <w:rsid w:val="00A14917"/>
    <w:rsid w:val="00A152A3"/>
    <w:rsid w:val="00A15845"/>
    <w:rsid w:val="00A16802"/>
    <w:rsid w:val="00A16985"/>
    <w:rsid w:val="00A16A26"/>
    <w:rsid w:val="00A16C1D"/>
    <w:rsid w:val="00A16D76"/>
    <w:rsid w:val="00A1711C"/>
    <w:rsid w:val="00A17397"/>
    <w:rsid w:val="00A17900"/>
    <w:rsid w:val="00A17974"/>
    <w:rsid w:val="00A17D48"/>
    <w:rsid w:val="00A17E46"/>
    <w:rsid w:val="00A2013F"/>
    <w:rsid w:val="00A20930"/>
    <w:rsid w:val="00A21520"/>
    <w:rsid w:val="00A21993"/>
    <w:rsid w:val="00A21AA2"/>
    <w:rsid w:val="00A21B1B"/>
    <w:rsid w:val="00A21BB0"/>
    <w:rsid w:val="00A21BEA"/>
    <w:rsid w:val="00A22520"/>
    <w:rsid w:val="00A22F5F"/>
    <w:rsid w:val="00A2332F"/>
    <w:rsid w:val="00A24675"/>
    <w:rsid w:val="00A2495A"/>
    <w:rsid w:val="00A24BF3"/>
    <w:rsid w:val="00A24E41"/>
    <w:rsid w:val="00A25CB6"/>
    <w:rsid w:val="00A25F1B"/>
    <w:rsid w:val="00A25F5E"/>
    <w:rsid w:val="00A2625E"/>
    <w:rsid w:val="00A269F3"/>
    <w:rsid w:val="00A26E60"/>
    <w:rsid w:val="00A270E0"/>
    <w:rsid w:val="00A27897"/>
    <w:rsid w:val="00A2795D"/>
    <w:rsid w:val="00A27BD3"/>
    <w:rsid w:val="00A3015C"/>
    <w:rsid w:val="00A302D3"/>
    <w:rsid w:val="00A305C2"/>
    <w:rsid w:val="00A3096A"/>
    <w:rsid w:val="00A30EBE"/>
    <w:rsid w:val="00A3115C"/>
    <w:rsid w:val="00A31717"/>
    <w:rsid w:val="00A31FB7"/>
    <w:rsid w:val="00A31FB8"/>
    <w:rsid w:val="00A32441"/>
    <w:rsid w:val="00A32BFF"/>
    <w:rsid w:val="00A32EEA"/>
    <w:rsid w:val="00A331A6"/>
    <w:rsid w:val="00A33316"/>
    <w:rsid w:val="00A3358E"/>
    <w:rsid w:val="00A33659"/>
    <w:rsid w:val="00A346A8"/>
    <w:rsid w:val="00A34B65"/>
    <w:rsid w:val="00A34D97"/>
    <w:rsid w:val="00A351AE"/>
    <w:rsid w:val="00A3528E"/>
    <w:rsid w:val="00A357FA"/>
    <w:rsid w:val="00A359FE"/>
    <w:rsid w:val="00A363A1"/>
    <w:rsid w:val="00A36AB4"/>
    <w:rsid w:val="00A370C6"/>
    <w:rsid w:val="00A3718F"/>
    <w:rsid w:val="00A373BD"/>
    <w:rsid w:val="00A374AA"/>
    <w:rsid w:val="00A375F8"/>
    <w:rsid w:val="00A37A44"/>
    <w:rsid w:val="00A37B5E"/>
    <w:rsid w:val="00A40669"/>
    <w:rsid w:val="00A40860"/>
    <w:rsid w:val="00A40C54"/>
    <w:rsid w:val="00A41067"/>
    <w:rsid w:val="00A41901"/>
    <w:rsid w:val="00A41C33"/>
    <w:rsid w:val="00A427E9"/>
    <w:rsid w:val="00A42AC9"/>
    <w:rsid w:val="00A43171"/>
    <w:rsid w:val="00A4320C"/>
    <w:rsid w:val="00A437C4"/>
    <w:rsid w:val="00A43E7F"/>
    <w:rsid w:val="00A44189"/>
    <w:rsid w:val="00A44432"/>
    <w:rsid w:val="00A449B0"/>
    <w:rsid w:val="00A449C7"/>
    <w:rsid w:val="00A44DB3"/>
    <w:rsid w:val="00A44E04"/>
    <w:rsid w:val="00A450BF"/>
    <w:rsid w:val="00A45343"/>
    <w:rsid w:val="00A4575F"/>
    <w:rsid w:val="00A45836"/>
    <w:rsid w:val="00A45A0C"/>
    <w:rsid w:val="00A45BBE"/>
    <w:rsid w:val="00A45F3D"/>
    <w:rsid w:val="00A462E3"/>
    <w:rsid w:val="00A46FD9"/>
    <w:rsid w:val="00A501E4"/>
    <w:rsid w:val="00A504DE"/>
    <w:rsid w:val="00A50FEE"/>
    <w:rsid w:val="00A5170F"/>
    <w:rsid w:val="00A5235E"/>
    <w:rsid w:val="00A52DA0"/>
    <w:rsid w:val="00A53C15"/>
    <w:rsid w:val="00A53E74"/>
    <w:rsid w:val="00A5427A"/>
    <w:rsid w:val="00A54705"/>
    <w:rsid w:val="00A54ACE"/>
    <w:rsid w:val="00A54EC4"/>
    <w:rsid w:val="00A5563A"/>
    <w:rsid w:val="00A55AAB"/>
    <w:rsid w:val="00A55CF4"/>
    <w:rsid w:val="00A55EFC"/>
    <w:rsid w:val="00A56634"/>
    <w:rsid w:val="00A56779"/>
    <w:rsid w:val="00A569E9"/>
    <w:rsid w:val="00A56D53"/>
    <w:rsid w:val="00A56F8D"/>
    <w:rsid w:val="00A5712F"/>
    <w:rsid w:val="00A577A4"/>
    <w:rsid w:val="00A57E59"/>
    <w:rsid w:val="00A57EBA"/>
    <w:rsid w:val="00A57FF7"/>
    <w:rsid w:val="00A604D1"/>
    <w:rsid w:val="00A6069B"/>
    <w:rsid w:val="00A6086A"/>
    <w:rsid w:val="00A60916"/>
    <w:rsid w:val="00A60D94"/>
    <w:rsid w:val="00A6145F"/>
    <w:rsid w:val="00A61728"/>
    <w:rsid w:val="00A62B55"/>
    <w:rsid w:val="00A62CC3"/>
    <w:rsid w:val="00A62CE0"/>
    <w:rsid w:val="00A62DF7"/>
    <w:rsid w:val="00A63747"/>
    <w:rsid w:val="00A63E99"/>
    <w:rsid w:val="00A646DB"/>
    <w:rsid w:val="00A6470C"/>
    <w:rsid w:val="00A64767"/>
    <w:rsid w:val="00A65137"/>
    <w:rsid w:val="00A65AC0"/>
    <w:rsid w:val="00A65BCA"/>
    <w:rsid w:val="00A65D0D"/>
    <w:rsid w:val="00A661BA"/>
    <w:rsid w:val="00A66D8E"/>
    <w:rsid w:val="00A67007"/>
    <w:rsid w:val="00A6794D"/>
    <w:rsid w:val="00A67964"/>
    <w:rsid w:val="00A67C1E"/>
    <w:rsid w:val="00A67CF7"/>
    <w:rsid w:val="00A67E9E"/>
    <w:rsid w:val="00A703CD"/>
    <w:rsid w:val="00A7092F"/>
    <w:rsid w:val="00A70A4F"/>
    <w:rsid w:val="00A70AB9"/>
    <w:rsid w:val="00A710E6"/>
    <w:rsid w:val="00A71682"/>
    <w:rsid w:val="00A71947"/>
    <w:rsid w:val="00A71C8F"/>
    <w:rsid w:val="00A71EB6"/>
    <w:rsid w:val="00A72446"/>
    <w:rsid w:val="00A7249F"/>
    <w:rsid w:val="00A72ED3"/>
    <w:rsid w:val="00A7311E"/>
    <w:rsid w:val="00A73DF1"/>
    <w:rsid w:val="00A73E39"/>
    <w:rsid w:val="00A742F0"/>
    <w:rsid w:val="00A75341"/>
    <w:rsid w:val="00A762AA"/>
    <w:rsid w:val="00A76651"/>
    <w:rsid w:val="00A766E5"/>
    <w:rsid w:val="00A76983"/>
    <w:rsid w:val="00A76A29"/>
    <w:rsid w:val="00A76D50"/>
    <w:rsid w:val="00A76E1F"/>
    <w:rsid w:val="00A76E3E"/>
    <w:rsid w:val="00A77800"/>
    <w:rsid w:val="00A779BA"/>
    <w:rsid w:val="00A779E1"/>
    <w:rsid w:val="00A77F96"/>
    <w:rsid w:val="00A802D0"/>
    <w:rsid w:val="00A80C1E"/>
    <w:rsid w:val="00A80CE6"/>
    <w:rsid w:val="00A81171"/>
    <w:rsid w:val="00A81EDA"/>
    <w:rsid w:val="00A82389"/>
    <w:rsid w:val="00A82718"/>
    <w:rsid w:val="00A82833"/>
    <w:rsid w:val="00A82BB0"/>
    <w:rsid w:val="00A82BFB"/>
    <w:rsid w:val="00A82F3E"/>
    <w:rsid w:val="00A82FFD"/>
    <w:rsid w:val="00A83451"/>
    <w:rsid w:val="00A836B8"/>
    <w:rsid w:val="00A837F1"/>
    <w:rsid w:val="00A8396C"/>
    <w:rsid w:val="00A83D8C"/>
    <w:rsid w:val="00A842D5"/>
    <w:rsid w:val="00A844D3"/>
    <w:rsid w:val="00A84A10"/>
    <w:rsid w:val="00A84E54"/>
    <w:rsid w:val="00A8500C"/>
    <w:rsid w:val="00A851AE"/>
    <w:rsid w:val="00A85274"/>
    <w:rsid w:val="00A85365"/>
    <w:rsid w:val="00A8546F"/>
    <w:rsid w:val="00A85BAC"/>
    <w:rsid w:val="00A85D29"/>
    <w:rsid w:val="00A85EA7"/>
    <w:rsid w:val="00A86324"/>
    <w:rsid w:val="00A86364"/>
    <w:rsid w:val="00A866BA"/>
    <w:rsid w:val="00A86FDB"/>
    <w:rsid w:val="00A870D1"/>
    <w:rsid w:val="00A870FB"/>
    <w:rsid w:val="00A87F47"/>
    <w:rsid w:val="00A90044"/>
    <w:rsid w:val="00A90EF7"/>
    <w:rsid w:val="00A9255F"/>
    <w:rsid w:val="00A928C4"/>
    <w:rsid w:val="00A92A06"/>
    <w:rsid w:val="00A92A6A"/>
    <w:rsid w:val="00A92AAE"/>
    <w:rsid w:val="00A92D71"/>
    <w:rsid w:val="00A92FE0"/>
    <w:rsid w:val="00A93F41"/>
    <w:rsid w:val="00A94054"/>
    <w:rsid w:val="00A94249"/>
    <w:rsid w:val="00A944DB"/>
    <w:rsid w:val="00A944F8"/>
    <w:rsid w:val="00A96514"/>
    <w:rsid w:val="00A9678D"/>
    <w:rsid w:val="00A96C96"/>
    <w:rsid w:val="00A97236"/>
    <w:rsid w:val="00A97829"/>
    <w:rsid w:val="00A97B1C"/>
    <w:rsid w:val="00AA0411"/>
    <w:rsid w:val="00AA082C"/>
    <w:rsid w:val="00AA0C52"/>
    <w:rsid w:val="00AA0FD0"/>
    <w:rsid w:val="00AA16C0"/>
    <w:rsid w:val="00AA198B"/>
    <w:rsid w:val="00AA1A5C"/>
    <w:rsid w:val="00AA1FD4"/>
    <w:rsid w:val="00AA23D4"/>
    <w:rsid w:val="00AA29FA"/>
    <w:rsid w:val="00AA2C02"/>
    <w:rsid w:val="00AA3069"/>
    <w:rsid w:val="00AA374B"/>
    <w:rsid w:val="00AA3AFE"/>
    <w:rsid w:val="00AA3D8C"/>
    <w:rsid w:val="00AA3DC6"/>
    <w:rsid w:val="00AA408B"/>
    <w:rsid w:val="00AA4DBB"/>
    <w:rsid w:val="00AA4F4C"/>
    <w:rsid w:val="00AA5680"/>
    <w:rsid w:val="00AA6AA6"/>
    <w:rsid w:val="00AA6C0B"/>
    <w:rsid w:val="00AA7117"/>
    <w:rsid w:val="00AA74A9"/>
    <w:rsid w:val="00AB0812"/>
    <w:rsid w:val="00AB0860"/>
    <w:rsid w:val="00AB0E30"/>
    <w:rsid w:val="00AB1BD0"/>
    <w:rsid w:val="00AB205B"/>
    <w:rsid w:val="00AB2536"/>
    <w:rsid w:val="00AB28D0"/>
    <w:rsid w:val="00AB291A"/>
    <w:rsid w:val="00AB2D87"/>
    <w:rsid w:val="00AB3131"/>
    <w:rsid w:val="00AB42E9"/>
    <w:rsid w:val="00AB4398"/>
    <w:rsid w:val="00AB4435"/>
    <w:rsid w:val="00AB449A"/>
    <w:rsid w:val="00AB4FDC"/>
    <w:rsid w:val="00AB5198"/>
    <w:rsid w:val="00AB54E5"/>
    <w:rsid w:val="00AB5C02"/>
    <w:rsid w:val="00AB624E"/>
    <w:rsid w:val="00AB63F3"/>
    <w:rsid w:val="00AB65F9"/>
    <w:rsid w:val="00AB667D"/>
    <w:rsid w:val="00AB6E64"/>
    <w:rsid w:val="00AB798C"/>
    <w:rsid w:val="00AB7C4D"/>
    <w:rsid w:val="00AB7E67"/>
    <w:rsid w:val="00AB7EAD"/>
    <w:rsid w:val="00AC093C"/>
    <w:rsid w:val="00AC0A84"/>
    <w:rsid w:val="00AC16CD"/>
    <w:rsid w:val="00AC1734"/>
    <w:rsid w:val="00AC20D6"/>
    <w:rsid w:val="00AC2ACF"/>
    <w:rsid w:val="00AC2B0D"/>
    <w:rsid w:val="00AC3350"/>
    <w:rsid w:val="00AC33F1"/>
    <w:rsid w:val="00AC3A49"/>
    <w:rsid w:val="00AC3A97"/>
    <w:rsid w:val="00AC3E83"/>
    <w:rsid w:val="00AC48C6"/>
    <w:rsid w:val="00AC48F2"/>
    <w:rsid w:val="00AC523D"/>
    <w:rsid w:val="00AC570A"/>
    <w:rsid w:val="00AC57EC"/>
    <w:rsid w:val="00AC5DD0"/>
    <w:rsid w:val="00AC6585"/>
    <w:rsid w:val="00AC6C64"/>
    <w:rsid w:val="00AC6C81"/>
    <w:rsid w:val="00AC6E37"/>
    <w:rsid w:val="00AC6FEE"/>
    <w:rsid w:val="00AC75C2"/>
    <w:rsid w:val="00AC769E"/>
    <w:rsid w:val="00AC772B"/>
    <w:rsid w:val="00AC7B53"/>
    <w:rsid w:val="00AD0233"/>
    <w:rsid w:val="00AD023F"/>
    <w:rsid w:val="00AD0871"/>
    <w:rsid w:val="00AD09D4"/>
    <w:rsid w:val="00AD0BCA"/>
    <w:rsid w:val="00AD1545"/>
    <w:rsid w:val="00AD1672"/>
    <w:rsid w:val="00AD1751"/>
    <w:rsid w:val="00AD17A2"/>
    <w:rsid w:val="00AD17B3"/>
    <w:rsid w:val="00AD17D5"/>
    <w:rsid w:val="00AD1F15"/>
    <w:rsid w:val="00AD1F33"/>
    <w:rsid w:val="00AD21CD"/>
    <w:rsid w:val="00AD280B"/>
    <w:rsid w:val="00AD2F72"/>
    <w:rsid w:val="00AD31D6"/>
    <w:rsid w:val="00AD3209"/>
    <w:rsid w:val="00AD3271"/>
    <w:rsid w:val="00AD3BEB"/>
    <w:rsid w:val="00AD3C0B"/>
    <w:rsid w:val="00AD3F7E"/>
    <w:rsid w:val="00AD3FAF"/>
    <w:rsid w:val="00AD4096"/>
    <w:rsid w:val="00AD40D3"/>
    <w:rsid w:val="00AD4390"/>
    <w:rsid w:val="00AD47C3"/>
    <w:rsid w:val="00AD47F7"/>
    <w:rsid w:val="00AD4CE8"/>
    <w:rsid w:val="00AD4D80"/>
    <w:rsid w:val="00AD4EFE"/>
    <w:rsid w:val="00AD50AF"/>
    <w:rsid w:val="00AD5261"/>
    <w:rsid w:val="00AD52EC"/>
    <w:rsid w:val="00AD5478"/>
    <w:rsid w:val="00AD5835"/>
    <w:rsid w:val="00AD5BD4"/>
    <w:rsid w:val="00AD5CED"/>
    <w:rsid w:val="00AD64CB"/>
    <w:rsid w:val="00AD6B72"/>
    <w:rsid w:val="00AD6EDD"/>
    <w:rsid w:val="00AD6F57"/>
    <w:rsid w:val="00AD710E"/>
    <w:rsid w:val="00AD731A"/>
    <w:rsid w:val="00AD75E9"/>
    <w:rsid w:val="00AD7A36"/>
    <w:rsid w:val="00AE0327"/>
    <w:rsid w:val="00AE19FB"/>
    <w:rsid w:val="00AE1C4C"/>
    <w:rsid w:val="00AE1DC4"/>
    <w:rsid w:val="00AE1EA9"/>
    <w:rsid w:val="00AE244C"/>
    <w:rsid w:val="00AE2697"/>
    <w:rsid w:val="00AE271E"/>
    <w:rsid w:val="00AE2AED"/>
    <w:rsid w:val="00AE2B25"/>
    <w:rsid w:val="00AE2FA1"/>
    <w:rsid w:val="00AE30B6"/>
    <w:rsid w:val="00AE3529"/>
    <w:rsid w:val="00AE3893"/>
    <w:rsid w:val="00AE3C87"/>
    <w:rsid w:val="00AE4379"/>
    <w:rsid w:val="00AE4422"/>
    <w:rsid w:val="00AE462D"/>
    <w:rsid w:val="00AE482F"/>
    <w:rsid w:val="00AE573B"/>
    <w:rsid w:val="00AE595B"/>
    <w:rsid w:val="00AE5AEB"/>
    <w:rsid w:val="00AE6157"/>
    <w:rsid w:val="00AE68D8"/>
    <w:rsid w:val="00AE6B29"/>
    <w:rsid w:val="00AE720E"/>
    <w:rsid w:val="00AE76D2"/>
    <w:rsid w:val="00AE7E94"/>
    <w:rsid w:val="00AF08CA"/>
    <w:rsid w:val="00AF08F7"/>
    <w:rsid w:val="00AF0B7C"/>
    <w:rsid w:val="00AF0D17"/>
    <w:rsid w:val="00AF0E40"/>
    <w:rsid w:val="00AF11C1"/>
    <w:rsid w:val="00AF15C5"/>
    <w:rsid w:val="00AF1792"/>
    <w:rsid w:val="00AF1A04"/>
    <w:rsid w:val="00AF2100"/>
    <w:rsid w:val="00AF22F9"/>
    <w:rsid w:val="00AF2614"/>
    <w:rsid w:val="00AF2795"/>
    <w:rsid w:val="00AF3131"/>
    <w:rsid w:val="00AF3901"/>
    <w:rsid w:val="00AF3BD2"/>
    <w:rsid w:val="00AF3E88"/>
    <w:rsid w:val="00AF4848"/>
    <w:rsid w:val="00AF4890"/>
    <w:rsid w:val="00AF4D40"/>
    <w:rsid w:val="00AF4E0A"/>
    <w:rsid w:val="00AF58E1"/>
    <w:rsid w:val="00AF5C19"/>
    <w:rsid w:val="00AF5E4F"/>
    <w:rsid w:val="00AF5E7A"/>
    <w:rsid w:val="00AF63B2"/>
    <w:rsid w:val="00AF6EF7"/>
    <w:rsid w:val="00AF6F3B"/>
    <w:rsid w:val="00AF7321"/>
    <w:rsid w:val="00AF7ABB"/>
    <w:rsid w:val="00AF7B67"/>
    <w:rsid w:val="00B00903"/>
    <w:rsid w:val="00B0111C"/>
    <w:rsid w:val="00B012EB"/>
    <w:rsid w:val="00B028D8"/>
    <w:rsid w:val="00B02990"/>
    <w:rsid w:val="00B02AF1"/>
    <w:rsid w:val="00B02F46"/>
    <w:rsid w:val="00B0352B"/>
    <w:rsid w:val="00B038D1"/>
    <w:rsid w:val="00B039CA"/>
    <w:rsid w:val="00B04791"/>
    <w:rsid w:val="00B04AAE"/>
    <w:rsid w:val="00B04B8F"/>
    <w:rsid w:val="00B05119"/>
    <w:rsid w:val="00B05223"/>
    <w:rsid w:val="00B06125"/>
    <w:rsid w:val="00B06221"/>
    <w:rsid w:val="00B06533"/>
    <w:rsid w:val="00B0662C"/>
    <w:rsid w:val="00B070C7"/>
    <w:rsid w:val="00B070DD"/>
    <w:rsid w:val="00B0774C"/>
    <w:rsid w:val="00B102E4"/>
    <w:rsid w:val="00B10BAD"/>
    <w:rsid w:val="00B10E19"/>
    <w:rsid w:val="00B11A0F"/>
    <w:rsid w:val="00B11F88"/>
    <w:rsid w:val="00B12089"/>
    <w:rsid w:val="00B123DD"/>
    <w:rsid w:val="00B125D3"/>
    <w:rsid w:val="00B12672"/>
    <w:rsid w:val="00B129E9"/>
    <w:rsid w:val="00B12BAD"/>
    <w:rsid w:val="00B12FBA"/>
    <w:rsid w:val="00B1317C"/>
    <w:rsid w:val="00B132BC"/>
    <w:rsid w:val="00B13601"/>
    <w:rsid w:val="00B13BB6"/>
    <w:rsid w:val="00B13E7A"/>
    <w:rsid w:val="00B13F37"/>
    <w:rsid w:val="00B14297"/>
    <w:rsid w:val="00B143C4"/>
    <w:rsid w:val="00B143EE"/>
    <w:rsid w:val="00B149CE"/>
    <w:rsid w:val="00B14EF8"/>
    <w:rsid w:val="00B1501C"/>
    <w:rsid w:val="00B153A8"/>
    <w:rsid w:val="00B159ED"/>
    <w:rsid w:val="00B15D9A"/>
    <w:rsid w:val="00B16565"/>
    <w:rsid w:val="00B16A01"/>
    <w:rsid w:val="00B16ACC"/>
    <w:rsid w:val="00B174F9"/>
    <w:rsid w:val="00B177A6"/>
    <w:rsid w:val="00B20022"/>
    <w:rsid w:val="00B200D5"/>
    <w:rsid w:val="00B20351"/>
    <w:rsid w:val="00B205D4"/>
    <w:rsid w:val="00B2130B"/>
    <w:rsid w:val="00B21406"/>
    <w:rsid w:val="00B21612"/>
    <w:rsid w:val="00B21AA2"/>
    <w:rsid w:val="00B21CF0"/>
    <w:rsid w:val="00B21F2C"/>
    <w:rsid w:val="00B224C7"/>
    <w:rsid w:val="00B226C4"/>
    <w:rsid w:val="00B22A7B"/>
    <w:rsid w:val="00B23648"/>
    <w:rsid w:val="00B23D14"/>
    <w:rsid w:val="00B24700"/>
    <w:rsid w:val="00B25D66"/>
    <w:rsid w:val="00B2625A"/>
    <w:rsid w:val="00B26736"/>
    <w:rsid w:val="00B2696F"/>
    <w:rsid w:val="00B2725D"/>
    <w:rsid w:val="00B2737C"/>
    <w:rsid w:val="00B27814"/>
    <w:rsid w:val="00B27ADB"/>
    <w:rsid w:val="00B27CC8"/>
    <w:rsid w:val="00B27DB7"/>
    <w:rsid w:val="00B31AAA"/>
    <w:rsid w:val="00B32135"/>
    <w:rsid w:val="00B32672"/>
    <w:rsid w:val="00B32715"/>
    <w:rsid w:val="00B329D3"/>
    <w:rsid w:val="00B32B37"/>
    <w:rsid w:val="00B32CBC"/>
    <w:rsid w:val="00B32DC3"/>
    <w:rsid w:val="00B3305B"/>
    <w:rsid w:val="00B3308F"/>
    <w:rsid w:val="00B33575"/>
    <w:rsid w:val="00B338A6"/>
    <w:rsid w:val="00B34133"/>
    <w:rsid w:val="00B342DE"/>
    <w:rsid w:val="00B3437F"/>
    <w:rsid w:val="00B343F7"/>
    <w:rsid w:val="00B34438"/>
    <w:rsid w:val="00B354F1"/>
    <w:rsid w:val="00B358D0"/>
    <w:rsid w:val="00B35B76"/>
    <w:rsid w:val="00B35E4D"/>
    <w:rsid w:val="00B35E90"/>
    <w:rsid w:val="00B3722C"/>
    <w:rsid w:val="00B37E06"/>
    <w:rsid w:val="00B37E31"/>
    <w:rsid w:val="00B37FD3"/>
    <w:rsid w:val="00B401D9"/>
    <w:rsid w:val="00B4025B"/>
    <w:rsid w:val="00B406CE"/>
    <w:rsid w:val="00B408BE"/>
    <w:rsid w:val="00B408EC"/>
    <w:rsid w:val="00B40AB8"/>
    <w:rsid w:val="00B40D15"/>
    <w:rsid w:val="00B40EDD"/>
    <w:rsid w:val="00B412E1"/>
    <w:rsid w:val="00B419A1"/>
    <w:rsid w:val="00B419D9"/>
    <w:rsid w:val="00B41D70"/>
    <w:rsid w:val="00B41DAE"/>
    <w:rsid w:val="00B42562"/>
    <w:rsid w:val="00B425F0"/>
    <w:rsid w:val="00B42672"/>
    <w:rsid w:val="00B42F7E"/>
    <w:rsid w:val="00B437C2"/>
    <w:rsid w:val="00B43B7E"/>
    <w:rsid w:val="00B44834"/>
    <w:rsid w:val="00B44899"/>
    <w:rsid w:val="00B448E8"/>
    <w:rsid w:val="00B4490B"/>
    <w:rsid w:val="00B44DD9"/>
    <w:rsid w:val="00B451B4"/>
    <w:rsid w:val="00B454CD"/>
    <w:rsid w:val="00B45A3C"/>
    <w:rsid w:val="00B461D5"/>
    <w:rsid w:val="00B464AB"/>
    <w:rsid w:val="00B4683E"/>
    <w:rsid w:val="00B46B68"/>
    <w:rsid w:val="00B46FDC"/>
    <w:rsid w:val="00B47221"/>
    <w:rsid w:val="00B50401"/>
    <w:rsid w:val="00B505E4"/>
    <w:rsid w:val="00B50951"/>
    <w:rsid w:val="00B50AFF"/>
    <w:rsid w:val="00B51963"/>
    <w:rsid w:val="00B51AA3"/>
    <w:rsid w:val="00B526F3"/>
    <w:rsid w:val="00B5297A"/>
    <w:rsid w:val="00B52AF2"/>
    <w:rsid w:val="00B5475D"/>
    <w:rsid w:val="00B5492E"/>
    <w:rsid w:val="00B54F3D"/>
    <w:rsid w:val="00B54FF7"/>
    <w:rsid w:val="00B5524C"/>
    <w:rsid w:val="00B552CE"/>
    <w:rsid w:val="00B55B16"/>
    <w:rsid w:val="00B55F1A"/>
    <w:rsid w:val="00B566F5"/>
    <w:rsid w:val="00B56833"/>
    <w:rsid w:val="00B5789C"/>
    <w:rsid w:val="00B57EA1"/>
    <w:rsid w:val="00B61622"/>
    <w:rsid w:val="00B61970"/>
    <w:rsid w:val="00B62172"/>
    <w:rsid w:val="00B6278B"/>
    <w:rsid w:val="00B62CD2"/>
    <w:rsid w:val="00B63007"/>
    <w:rsid w:val="00B63501"/>
    <w:rsid w:val="00B63AA2"/>
    <w:rsid w:val="00B63AEF"/>
    <w:rsid w:val="00B65563"/>
    <w:rsid w:val="00B655C0"/>
    <w:rsid w:val="00B65A28"/>
    <w:rsid w:val="00B66096"/>
    <w:rsid w:val="00B660F2"/>
    <w:rsid w:val="00B661D6"/>
    <w:rsid w:val="00B66C0B"/>
    <w:rsid w:val="00B66D3E"/>
    <w:rsid w:val="00B67164"/>
    <w:rsid w:val="00B671BB"/>
    <w:rsid w:val="00B676FF"/>
    <w:rsid w:val="00B67ACD"/>
    <w:rsid w:val="00B67E7D"/>
    <w:rsid w:val="00B70F8A"/>
    <w:rsid w:val="00B7166B"/>
    <w:rsid w:val="00B71950"/>
    <w:rsid w:val="00B71954"/>
    <w:rsid w:val="00B71C0D"/>
    <w:rsid w:val="00B71E48"/>
    <w:rsid w:val="00B727E1"/>
    <w:rsid w:val="00B72958"/>
    <w:rsid w:val="00B72ACE"/>
    <w:rsid w:val="00B72B4E"/>
    <w:rsid w:val="00B73099"/>
    <w:rsid w:val="00B73302"/>
    <w:rsid w:val="00B73838"/>
    <w:rsid w:val="00B73AD0"/>
    <w:rsid w:val="00B73DBD"/>
    <w:rsid w:val="00B73F98"/>
    <w:rsid w:val="00B74A3B"/>
    <w:rsid w:val="00B74C78"/>
    <w:rsid w:val="00B750E4"/>
    <w:rsid w:val="00B7554B"/>
    <w:rsid w:val="00B75C61"/>
    <w:rsid w:val="00B76285"/>
    <w:rsid w:val="00B7629A"/>
    <w:rsid w:val="00B763A9"/>
    <w:rsid w:val="00B76583"/>
    <w:rsid w:val="00B76B96"/>
    <w:rsid w:val="00B76D6C"/>
    <w:rsid w:val="00B7762C"/>
    <w:rsid w:val="00B77965"/>
    <w:rsid w:val="00B77CA1"/>
    <w:rsid w:val="00B77F8A"/>
    <w:rsid w:val="00B80043"/>
    <w:rsid w:val="00B80140"/>
    <w:rsid w:val="00B801FD"/>
    <w:rsid w:val="00B80304"/>
    <w:rsid w:val="00B80458"/>
    <w:rsid w:val="00B809E6"/>
    <w:rsid w:val="00B81349"/>
    <w:rsid w:val="00B81500"/>
    <w:rsid w:val="00B81A27"/>
    <w:rsid w:val="00B81C5F"/>
    <w:rsid w:val="00B81F7B"/>
    <w:rsid w:val="00B824C0"/>
    <w:rsid w:val="00B82815"/>
    <w:rsid w:val="00B82A57"/>
    <w:rsid w:val="00B82A93"/>
    <w:rsid w:val="00B82DD2"/>
    <w:rsid w:val="00B835BA"/>
    <w:rsid w:val="00B842F2"/>
    <w:rsid w:val="00B843FD"/>
    <w:rsid w:val="00B845E7"/>
    <w:rsid w:val="00B846AE"/>
    <w:rsid w:val="00B84CD4"/>
    <w:rsid w:val="00B8504D"/>
    <w:rsid w:val="00B85DB0"/>
    <w:rsid w:val="00B86109"/>
    <w:rsid w:val="00B8615B"/>
    <w:rsid w:val="00B8647A"/>
    <w:rsid w:val="00B86565"/>
    <w:rsid w:val="00B86609"/>
    <w:rsid w:val="00B867DE"/>
    <w:rsid w:val="00B86C02"/>
    <w:rsid w:val="00B86C0D"/>
    <w:rsid w:val="00B86D28"/>
    <w:rsid w:val="00B873DD"/>
    <w:rsid w:val="00B87BD2"/>
    <w:rsid w:val="00B903BC"/>
    <w:rsid w:val="00B9099A"/>
    <w:rsid w:val="00B909D5"/>
    <w:rsid w:val="00B90EE5"/>
    <w:rsid w:val="00B92276"/>
    <w:rsid w:val="00B9269B"/>
    <w:rsid w:val="00B92B90"/>
    <w:rsid w:val="00B93436"/>
    <w:rsid w:val="00B9401D"/>
    <w:rsid w:val="00B940C2"/>
    <w:rsid w:val="00B944C8"/>
    <w:rsid w:val="00B94C35"/>
    <w:rsid w:val="00B94DA5"/>
    <w:rsid w:val="00B952FD"/>
    <w:rsid w:val="00B95C58"/>
    <w:rsid w:val="00B96E9D"/>
    <w:rsid w:val="00B970D7"/>
    <w:rsid w:val="00B9780D"/>
    <w:rsid w:val="00B97990"/>
    <w:rsid w:val="00BA188D"/>
    <w:rsid w:val="00BA1DB0"/>
    <w:rsid w:val="00BA25CD"/>
    <w:rsid w:val="00BA27A4"/>
    <w:rsid w:val="00BA2DAE"/>
    <w:rsid w:val="00BA3064"/>
    <w:rsid w:val="00BA3A9D"/>
    <w:rsid w:val="00BA3EB6"/>
    <w:rsid w:val="00BA4D98"/>
    <w:rsid w:val="00BA55CA"/>
    <w:rsid w:val="00BA5871"/>
    <w:rsid w:val="00BA58E9"/>
    <w:rsid w:val="00BA59D7"/>
    <w:rsid w:val="00BA5EE2"/>
    <w:rsid w:val="00BA5F55"/>
    <w:rsid w:val="00BA6283"/>
    <w:rsid w:val="00BA6845"/>
    <w:rsid w:val="00BA6C0E"/>
    <w:rsid w:val="00BA6E92"/>
    <w:rsid w:val="00BA721B"/>
    <w:rsid w:val="00BA7459"/>
    <w:rsid w:val="00BA769E"/>
    <w:rsid w:val="00BA7D42"/>
    <w:rsid w:val="00BA7E8C"/>
    <w:rsid w:val="00BA7F2A"/>
    <w:rsid w:val="00BB042A"/>
    <w:rsid w:val="00BB0CBF"/>
    <w:rsid w:val="00BB1A08"/>
    <w:rsid w:val="00BB2096"/>
    <w:rsid w:val="00BB23F8"/>
    <w:rsid w:val="00BB27AA"/>
    <w:rsid w:val="00BB2A65"/>
    <w:rsid w:val="00BB3321"/>
    <w:rsid w:val="00BB33B1"/>
    <w:rsid w:val="00BB3827"/>
    <w:rsid w:val="00BB3E3E"/>
    <w:rsid w:val="00BB46F1"/>
    <w:rsid w:val="00BB4A88"/>
    <w:rsid w:val="00BB4D16"/>
    <w:rsid w:val="00BB5374"/>
    <w:rsid w:val="00BB5D76"/>
    <w:rsid w:val="00BB5DA2"/>
    <w:rsid w:val="00BB5DC9"/>
    <w:rsid w:val="00BB5FEB"/>
    <w:rsid w:val="00BB6077"/>
    <w:rsid w:val="00BB612F"/>
    <w:rsid w:val="00BB6C81"/>
    <w:rsid w:val="00BB6F5E"/>
    <w:rsid w:val="00BB7386"/>
    <w:rsid w:val="00BB7402"/>
    <w:rsid w:val="00BB7586"/>
    <w:rsid w:val="00BB7B4D"/>
    <w:rsid w:val="00BC0254"/>
    <w:rsid w:val="00BC0367"/>
    <w:rsid w:val="00BC0D46"/>
    <w:rsid w:val="00BC139B"/>
    <w:rsid w:val="00BC1626"/>
    <w:rsid w:val="00BC1992"/>
    <w:rsid w:val="00BC1BC7"/>
    <w:rsid w:val="00BC1CC2"/>
    <w:rsid w:val="00BC249C"/>
    <w:rsid w:val="00BC26DA"/>
    <w:rsid w:val="00BC2C9C"/>
    <w:rsid w:val="00BC3166"/>
    <w:rsid w:val="00BC34FC"/>
    <w:rsid w:val="00BC3638"/>
    <w:rsid w:val="00BC397D"/>
    <w:rsid w:val="00BC40BA"/>
    <w:rsid w:val="00BC42E5"/>
    <w:rsid w:val="00BC4546"/>
    <w:rsid w:val="00BC455D"/>
    <w:rsid w:val="00BC49BC"/>
    <w:rsid w:val="00BC543E"/>
    <w:rsid w:val="00BC59B0"/>
    <w:rsid w:val="00BC59EA"/>
    <w:rsid w:val="00BC5A2F"/>
    <w:rsid w:val="00BC63C2"/>
    <w:rsid w:val="00BC6CED"/>
    <w:rsid w:val="00BC6D67"/>
    <w:rsid w:val="00BC6D76"/>
    <w:rsid w:val="00BC6E0F"/>
    <w:rsid w:val="00BC6E5E"/>
    <w:rsid w:val="00BC7AF5"/>
    <w:rsid w:val="00BC7C42"/>
    <w:rsid w:val="00BD0209"/>
    <w:rsid w:val="00BD06E3"/>
    <w:rsid w:val="00BD11D3"/>
    <w:rsid w:val="00BD12F0"/>
    <w:rsid w:val="00BD144A"/>
    <w:rsid w:val="00BD1D95"/>
    <w:rsid w:val="00BD224B"/>
    <w:rsid w:val="00BD2A66"/>
    <w:rsid w:val="00BD2B85"/>
    <w:rsid w:val="00BD2D98"/>
    <w:rsid w:val="00BD2F60"/>
    <w:rsid w:val="00BD3A36"/>
    <w:rsid w:val="00BD4034"/>
    <w:rsid w:val="00BD412E"/>
    <w:rsid w:val="00BD4ACB"/>
    <w:rsid w:val="00BD560E"/>
    <w:rsid w:val="00BD5650"/>
    <w:rsid w:val="00BD58B2"/>
    <w:rsid w:val="00BD5E34"/>
    <w:rsid w:val="00BD6293"/>
    <w:rsid w:val="00BD632B"/>
    <w:rsid w:val="00BD666B"/>
    <w:rsid w:val="00BD722B"/>
    <w:rsid w:val="00BD72AA"/>
    <w:rsid w:val="00BD72F3"/>
    <w:rsid w:val="00BD79F8"/>
    <w:rsid w:val="00BE0587"/>
    <w:rsid w:val="00BE05FA"/>
    <w:rsid w:val="00BE0CDF"/>
    <w:rsid w:val="00BE1169"/>
    <w:rsid w:val="00BE11A4"/>
    <w:rsid w:val="00BE19AF"/>
    <w:rsid w:val="00BE1A12"/>
    <w:rsid w:val="00BE2B66"/>
    <w:rsid w:val="00BE2DDC"/>
    <w:rsid w:val="00BE376D"/>
    <w:rsid w:val="00BE3E34"/>
    <w:rsid w:val="00BE3E8F"/>
    <w:rsid w:val="00BE4431"/>
    <w:rsid w:val="00BE46D6"/>
    <w:rsid w:val="00BE4CEF"/>
    <w:rsid w:val="00BE4F94"/>
    <w:rsid w:val="00BE50A7"/>
    <w:rsid w:val="00BE57F4"/>
    <w:rsid w:val="00BE5FA1"/>
    <w:rsid w:val="00BE6573"/>
    <w:rsid w:val="00BE66DC"/>
    <w:rsid w:val="00BE6A72"/>
    <w:rsid w:val="00BE725A"/>
    <w:rsid w:val="00BE72F8"/>
    <w:rsid w:val="00BE780F"/>
    <w:rsid w:val="00BE7A04"/>
    <w:rsid w:val="00BF03C0"/>
    <w:rsid w:val="00BF0622"/>
    <w:rsid w:val="00BF077E"/>
    <w:rsid w:val="00BF1296"/>
    <w:rsid w:val="00BF16A5"/>
    <w:rsid w:val="00BF1E7F"/>
    <w:rsid w:val="00BF22A2"/>
    <w:rsid w:val="00BF24DB"/>
    <w:rsid w:val="00BF261E"/>
    <w:rsid w:val="00BF28FE"/>
    <w:rsid w:val="00BF352D"/>
    <w:rsid w:val="00BF37E4"/>
    <w:rsid w:val="00BF38E3"/>
    <w:rsid w:val="00BF3C23"/>
    <w:rsid w:val="00BF3F18"/>
    <w:rsid w:val="00BF4590"/>
    <w:rsid w:val="00BF4F89"/>
    <w:rsid w:val="00BF5D52"/>
    <w:rsid w:val="00BF60BF"/>
    <w:rsid w:val="00BF6249"/>
    <w:rsid w:val="00BF67BE"/>
    <w:rsid w:val="00BF71D7"/>
    <w:rsid w:val="00BF7521"/>
    <w:rsid w:val="00BF77E1"/>
    <w:rsid w:val="00BF7811"/>
    <w:rsid w:val="00C005E5"/>
    <w:rsid w:val="00C00732"/>
    <w:rsid w:val="00C00791"/>
    <w:rsid w:val="00C009F7"/>
    <w:rsid w:val="00C00DC8"/>
    <w:rsid w:val="00C00FA1"/>
    <w:rsid w:val="00C01246"/>
    <w:rsid w:val="00C012BA"/>
    <w:rsid w:val="00C022E2"/>
    <w:rsid w:val="00C022FD"/>
    <w:rsid w:val="00C02443"/>
    <w:rsid w:val="00C0246B"/>
    <w:rsid w:val="00C0297E"/>
    <w:rsid w:val="00C03054"/>
    <w:rsid w:val="00C03417"/>
    <w:rsid w:val="00C03D63"/>
    <w:rsid w:val="00C041D1"/>
    <w:rsid w:val="00C0431E"/>
    <w:rsid w:val="00C04ED3"/>
    <w:rsid w:val="00C05404"/>
    <w:rsid w:val="00C05624"/>
    <w:rsid w:val="00C057F5"/>
    <w:rsid w:val="00C05BAC"/>
    <w:rsid w:val="00C05C38"/>
    <w:rsid w:val="00C0609D"/>
    <w:rsid w:val="00C0611B"/>
    <w:rsid w:val="00C0644D"/>
    <w:rsid w:val="00C06479"/>
    <w:rsid w:val="00C064FB"/>
    <w:rsid w:val="00C06904"/>
    <w:rsid w:val="00C06A67"/>
    <w:rsid w:val="00C07BCE"/>
    <w:rsid w:val="00C07D0D"/>
    <w:rsid w:val="00C07F67"/>
    <w:rsid w:val="00C10221"/>
    <w:rsid w:val="00C10615"/>
    <w:rsid w:val="00C11472"/>
    <w:rsid w:val="00C12341"/>
    <w:rsid w:val="00C1282A"/>
    <w:rsid w:val="00C12957"/>
    <w:rsid w:val="00C12A66"/>
    <w:rsid w:val="00C12AF0"/>
    <w:rsid w:val="00C13811"/>
    <w:rsid w:val="00C13BEA"/>
    <w:rsid w:val="00C13FD3"/>
    <w:rsid w:val="00C1418C"/>
    <w:rsid w:val="00C14CE2"/>
    <w:rsid w:val="00C1534E"/>
    <w:rsid w:val="00C157DD"/>
    <w:rsid w:val="00C15BDD"/>
    <w:rsid w:val="00C15FB0"/>
    <w:rsid w:val="00C16501"/>
    <w:rsid w:val="00C1667B"/>
    <w:rsid w:val="00C16F64"/>
    <w:rsid w:val="00C17821"/>
    <w:rsid w:val="00C17ADF"/>
    <w:rsid w:val="00C17D2C"/>
    <w:rsid w:val="00C17ED6"/>
    <w:rsid w:val="00C2032D"/>
    <w:rsid w:val="00C20484"/>
    <w:rsid w:val="00C2072B"/>
    <w:rsid w:val="00C214FB"/>
    <w:rsid w:val="00C21876"/>
    <w:rsid w:val="00C219A1"/>
    <w:rsid w:val="00C22871"/>
    <w:rsid w:val="00C228DD"/>
    <w:rsid w:val="00C22D31"/>
    <w:rsid w:val="00C22FDA"/>
    <w:rsid w:val="00C23095"/>
    <w:rsid w:val="00C233EC"/>
    <w:rsid w:val="00C23E04"/>
    <w:rsid w:val="00C2409D"/>
    <w:rsid w:val="00C24111"/>
    <w:rsid w:val="00C242C7"/>
    <w:rsid w:val="00C24452"/>
    <w:rsid w:val="00C24728"/>
    <w:rsid w:val="00C24A7D"/>
    <w:rsid w:val="00C24C34"/>
    <w:rsid w:val="00C24D4B"/>
    <w:rsid w:val="00C25768"/>
    <w:rsid w:val="00C25901"/>
    <w:rsid w:val="00C25CFF"/>
    <w:rsid w:val="00C2644D"/>
    <w:rsid w:val="00C26545"/>
    <w:rsid w:val="00C26A26"/>
    <w:rsid w:val="00C27264"/>
    <w:rsid w:val="00C27492"/>
    <w:rsid w:val="00C27D02"/>
    <w:rsid w:val="00C27DCF"/>
    <w:rsid w:val="00C3015D"/>
    <w:rsid w:val="00C301C0"/>
    <w:rsid w:val="00C30485"/>
    <w:rsid w:val="00C306EB"/>
    <w:rsid w:val="00C3095E"/>
    <w:rsid w:val="00C30E53"/>
    <w:rsid w:val="00C317FA"/>
    <w:rsid w:val="00C31DD3"/>
    <w:rsid w:val="00C3200A"/>
    <w:rsid w:val="00C320F9"/>
    <w:rsid w:val="00C32118"/>
    <w:rsid w:val="00C3269F"/>
    <w:rsid w:val="00C327F0"/>
    <w:rsid w:val="00C32975"/>
    <w:rsid w:val="00C32A14"/>
    <w:rsid w:val="00C32D6B"/>
    <w:rsid w:val="00C32E44"/>
    <w:rsid w:val="00C3317C"/>
    <w:rsid w:val="00C3326E"/>
    <w:rsid w:val="00C332A3"/>
    <w:rsid w:val="00C33593"/>
    <w:rsid w:val="00C33D6B"/>
    <w:rsid w:val="00C33E01"/>
    <w:rsid w:val="00C34004"/>
    <w:rsid w:val="00C3442F"/>
    <w:rsid w:val="00C345AB"/>
    <w:rsid w:val="00C3480C"/>
    <w:rsid w:val="00C34ED9"/>
    <w:rsid w:val="00C35308"/>
    <w:rsid w:val="00C35CF0"/>
    <w:rsid w:val="00C36102"/>
    <w:rsid w:val="00C36CD9"/>
    <w:rsid w:val="00C36FBD"/>
    <w:rsid w:val="00C370EE"/>
    <w:rsid w:val="00C371C1"/>
    <w:rsid w:val="00C371FD"/>
    <w:rsid w:val="00C3756B"/>
    <w:rsid w:val="00C40F76"/>
    <w:rsid w:val="00C411B0"/>
    <w:rsid w:val="00C41404"/>
    <w:rsid w:val="00C41580"/>
    <w:rsid w:val="00C42108"/>
    <w:rsid w:val="00C42395"/>
    <w:rsid w:val="00C4246B"/>
    <w:rsid w:val="00C4253C"/>
    <w:rsid w:val="00C43178"/>
    <w:rsid w:val="00C439A8"/>
    <w:rsid w:val="00C43A2D"/>
    <w:rsid w:val="00C43EB4"/>
    <w:rsid w:val="00C44146"/>
    <w:rsid w:val="00C45566"/>
    <w:rsid w:val="00C45D7B"/>
    <w:rsid w:val="00C46297"/>
    <w:rsid w:val="00C46BAC"/>
    <w:rsid w:val="00C46E57"/>
    <w:rsid w:val="00C47107"/>
    <w:rsid w:val="00C47374"/>
    <w:rsid w:val="00C47C35"/>
    <w:rsid w:val="00C47FC8"/>
    <w:rsid w:val="00C50A8D"/>
    <w:rsid w:val="00C51524"/>
    <w:rsid w:val="00C5164E"/>
    <w:rsid w:val="00C51F01"/>
    <w:rsid w:val="00C524AA"/>
    <w:rsid w:val="00C532E4"/>
    <w:rsid w:val="00C5337D"/>
    <w:rsid w:val="00C534D7"/>
    <w:rsid w:val="00C53509"/>
    <w:rsid w:val="00C53BCB"/>
    <w:rsid w:val="00C54027"/>
    <w:rsid w:val="00C5478B"/>
    <w:rsid w:val="00C54849"/>
    <w:rsid w:val="00C55002"/>
    <w:rsid w:val="00C55023"/>
    <w:rsid w:val="00C55B2C"/>
    <w:rsid w:val="00C55F77"/>
    <w:rsid w:val="00C562D7"/>
    <w:rsid w:val="00C56338"/>
    <w:rsid w:val="00C56378"/>
    <w:rsid w:val="00C56A21"/>
    <w:rsid w:val="00C56CE5"/>
    <w:rsid w:val="00C56E12"/>
    <w:rsid w:val="00C5746A"/>
    <w:rsid w:val="00C575B4"/>
    <w:rsid w:val="00C57932"/>
    <w:rsid w:val="00C57CF2"/>
    <w:rsid w:val="00C57D0D"/>
    <w:rsid w:val="00C60037"/>
    <w:rsid w:val="00C60055"/>
    <w:rsid w:val="00C60180"/>
    <w:rsid w:val="00C606CE"/>
    <w:rsid w:val="00C60EA4"/>
    <w:rsid w:val="00C61101"/>
    <w:rsid w:val="00C61312"/>
    <w:rsid w:val="00C61C03"/>
    <w:rsid w:val="00C61D48"/>
    <w:rsid w:val="00C622C1"/>
    <w:rsid w:val="00C62B12"/>
    <w:rsid w:val="00C634D3"/>
    <w:rsid w:val="00C6395F"/>
    <w:rsid w:val="00C639EC"/>
    <w:rsid w:val="00C63B09"/>
    <w:rsid w:val="00C63C1D"/>
    <w:rsid w:val="00C64B06"/>
    <w:rsid w:val="00C650B1"/>
    <w:rsid w:val="00C65562"/>
    <w:rsid w:val="00C65861"/>
    <w:rsid w:val="00C65A6F"/>
    <w:rsid w:val="00C65E34"/>
    <w:rsid w:val="00C65E65"/>
    <w:rsid w:val="00C65EBE"/>
    <w:rsid w:val="00C6640F"/>
    <w:rsid w:val="00C66463"/>
    <w:rsid w:val="00C6646F"/>
    <w:rsid w:val="00C66802"/>
    <w:rsid w:val="00C66823"/>
    <w:rsid w:val="00C66A4F"/>
    <w:rsid w:val="00C67028"/>
    <w:rsid w:val="00C67184"/>
    <w:rsid w:val="00C67465"/>
    <w:rsid w:val="00C678FB"/>
    <w:rsid w:val="00C67910"/>
    <w:rsid w:val="00C67AE0"/>
    <w:rsid w:val="00C70426"/>
    <w:rsid w:val="00C70438"/>
    <w:rsid w:val="00C70AC2"/>
    <w:rsid w:val="00C70F8D"/>
    <w:rsid w:val="00C71337"/>
    <w:rsid w:val="00C722BB"/>
    <w:rsid w:val="00C72964"/>
    <w:rsid w:val="00C729AC"/>
    <w:rsid w:val="00C72A58"/>
    <w:rsid w:val="00C72BE8"/>
    <w:rsid w:val="00C73690"/>
    <w:rsid w:val="00C7388B"/>
    <w:rsid w:val="00C73D2B"/>
    <w:rsid w:val="00C74033"/>
    <w:rsid w:val="00C74123"/>
    <w:rsid w:val="00C74293"/>
    <w:rsid w:val="00C748E3"/>
    <w:rsid w:val="00C75B64"/>
    <w:rsid w:val="00C75D9E"/>
    <w:rsid w:val="00C75DCB"/>
    <w:rsid w:val="00C75FDC"/>
    <w:rsid w:val="00C7604B"/>
    <w:rsid w:val="00C7634F"/>
    <w:rsid w:val="00C7687A"/>
    <w:rsid w:val="00C76B16"/>
    <w:rsid w:val="00C76B65"/>
    <w:rsid w:val="00C77548"/>
    <w:rsid w:val="00C8016D"/>
    <w:rsid w:val="00C80310"/>
    <w:rsid w:val="00C80758"/>
    <w:rsid w:val="00C81EA7"/>
    <w:rsid w:val="00C82672"/>
    <w:rsid w:val="00C82C02"/>
    <w:rsid w:val="00C8329B"/>
    <w:rsid w:val="00C83556"/>
    <w:rsid w:val="00C83A06"/>
    <w:rsid w:val="00C83E31"/>
    <w:rsid w:val="00C841F4"/>
    <w:rsid w:val="00C8457B"/>
    <w:rsid w:val="00C84827"/>
    <w:rsid w:val="00C852C9"/>
    <w:rsid w:val="00C85BDE"/>
    <w:rsid w:val="00C8604C"/>
    <w:rsid w:val="00C8622B"/>
    <w:rsid w:val="00C86A17"/>
    <w:rsid w:val="00C86B7B"/>
    <w:rsid w:val="00C86DD1"/>
    <w:rsid w:val="00C87191"/>
    <w:rsid w:val="00C8767D"/>
    <w:rsid w:val="00C87BC6"/>
    <w:rsid w:val="00C87BFA"/>
    <w:rsid w:val="00C90156"/>
    <w:rsid w:val="00C90195"/>
    <w:rsid w:val="00C90294"/>
    <w:rsid w:val="00C90CAB"/>
    <w:rsid w:val="00C91095"/>
    <w:rsid w:val="00C91100"/>
    <w:rsid w:val="00C9132B"/>
    <w:rsid w:val="00C9248C"/>
    <w:rsid w:val="00C925A7"/>
    <w:rsid w:val="00C927E8"/>
    <w:rsid w:val="00C92ABE"/>
    <w:rsid w:val="00C92D2B"/>
    <w:rsid w:val="00C92FA0"/>
    <w:rsid w:val="00C93267"/>
    <w:rsid w:val="00C932B4"/>
    <w:rsid w:val="00C94085"/>
    <w:rsid w:val="00C942ED"/>
    <w:rsid w:val="00C94484"/>
    <w:rsid w:val="00C94D7A"/>
    <w:rsid w:val="00C94F60"/>
    <w:rsid w:val="00C955F0"/>
    <w:rsid w:val="00C95806"/>
    <w:rsid w:val="00C964BA"/>
    <w:rsid w:val="00C96DC6"/>
    <w:rsid w:val="00C97D7B"/>
    <w:rsid w:val="00C97F24"/>
    <w:rsid w:val="00CA0225"/>
    <w:rsid w:val="00CA0479"/>
    <w:rsid w:val="00CA0F4B"/>
    <w:rsid w:val="00CA0F77"/>
    <w:rsid w:val="00CA0F83"/>
    <w:rsid w:val="00CA1475"/>
    <w:rsid w:val="00CA1AD4"/>
    <w:rsid w:val="00CA1D86"/>
    <w:rsid w:val="00CA288B"/>
    <w:rsid w:val="00CA2BA4"/>
    <w:rsid w:val="00CA2DF7"/>
    <w:rsid w:val="00CA2E53"/>
    <w:rsid w:val="00CA30C8"/>
    <w:rsid w:val="00CA31D0"/>
    <w:rsid w:val="00CA3B18"/>
    <w:rsid w:val="00CA3F7F"/>
    <w:rsid w:val="00CA412F"/>
    <w:rsid w:val="00CA429B"/>
    <w:rsid w:val="00CA439F"/>
    <w:rsid w:val="00CA46B0"/>
    <w:rsid w:val="00CA4834"/>
    <w:rsid w:val="00CA4CF8"/>
    <w:rsid w:val="00CA4F99"/>
    <w:rsid w:val="00CA4FB0"/>
    <w:rsid w:val="00CA5113"/>
    <w:rsid w:val="00CA521A"/>
    <w:rsid w:val="00CA5432"/>
    <w:rsid w:val="00CA5653"/>
    <w:rsid w:val="00CA57E5"/>
    <w:rsid w:val="00CA62E6"/>
    <w:rsid w:val="00CA694D"/>
    <w:rsid w:val="00CA6A98"/>
    <w:rsid w:val="00CA704D"/>
    <w:rsid w:val="00CA747C"/>
    <w:rsid w:val="00CA76D2"/>
    <w:rsid w:val="00CA7795"/>
    <w:rsid w:val="00CB0695"/>
    <w:rsid w:val="00CB06AD"/>
    <w:rsid w:val="00CB08B7"/>
    <w:rsid w:val="00CB1231"/>
    <w:rsid w:val="00CB1385"/>
    <w:rsid w:val="00CB1646"/>
    <w:rsid w:val="00CB16A8"/>
    <w:rsid w:val="00CB18A1"/>
    <w:rsid w:val="00CB1B38"/>
    <w:rsid w:val="00CB1C5B"/>
    <w:rsid w:val="00CB1E10"/>
    <w:rsid w:val="00CB27EC"/>
    <w:rsid w:val="00CB2941"/>
    <w:rsid w:val="00CB2FC2"/>
    <w:rsid w:val="00CB3006"/>
    <w:rsid w:val="00CB3B7C"/>
    <w:rsid w:val="00CB3FF7"/>
    <w:rsid w:val="00CB434D"/>
    <w:rsid w:val="00CB4BE3"/>
    <w:rsid w:val="00CB4C07"/>
    <w:rsid w:val="00CB53D7"/>
    <w:rsid w:val="00CB577B"/>
    <w:rsid w:val="00CB5E97"/>
    <w:rsid w:val="00CB687A"/>
    <w:rsid w:val="00CB7384"/>
    <w:rsid w:val="00CC0101"/>
    <w:rsid w:val="00CC0685"/>
    <w:rsid w:val="00CC08CF"/>
    <w:rsid w:val="00CC095B"/>
    <w:rsid w:val="00CC0E17"/>
    <w:rsid w:val="00CC0F9A"/>
    <w:rsid w:val="00CC1BE3"/>
    <w:rsid w:val="00CC2142"/>
    <w:rsid w:val="00CC2A93"/>
    <w:rsid w:val="00CC3E03"/>
    <w:rsid w:val="00CC4166"/>
    <w:rsid w:val="00CC43AA"/>
    <w:rsid w:val="00CC44EB"/>
    <w:rsid w:val="00CC45DA"/>
    <w:rsid w:val="00CC5DA4"/>
    <w:rsid w:val="00CC5EEE"/>
    <w:rsid w:val="00CC646B"/>
    <w:rsid w:val="00CC6B12"/>
    <w:rsid w:val="00CC6B2C"/>
    <w:rsid w:val="00CC6B6A"/>
    <w:rsid w:val="00CC6E2A"/>
    <w:rsid w:val="00CC7919"/>
    <w:rsid w:val="00CC7992"/>
    <w:rsid w:val="00CC7D5D"/>
    <w:rsid w:val="00CC7DE0"/>
    <w:rsid w:val="00CD0463"/>
    <w:rsid w:val="00CD0A1F"/>
    <w:rsid w:val="00CD0D4E"/>
    <w:rsid w:val="00CD0F60"/>
    <w:rsid w:val="00CD0F75"/>
    <w:rsid w:val="00CD1088"/>
    <w:rsid w:val="00CD1C98"/>
    <w:rsid w:val="00CD214B"/>
    <w:rsid w:val="00CD2201"/>
    <w:rsid w:val="00CD23E3"/>
    <w:rsid w:val="00CD31EC"/>
    <w:rsid w:val="00CD354A"/>
    <w:rsid w:val="00CD3648"/>
    <w:rsid w:val="00CD39C5"/>
    <w:rsid w:val="00CD4635"/>
    <w:rsid w:val="00CD555D"/>
    <w:rsid w:val="00CD5854"/>
    <w:rsid w:val="00CD5F23"/>
    <w:rsid w:val="00CD6170"/>
    <w:rsid w:val="00CD645C"/>
    <w:rsid w:val="00CD7586"/>
    <w:rsid w:val="00CD7671"/>
    <w:rsid w:val="00CD76B2"/>
    <w:rsid w:val="00CD76DD"/>
    <w:rsid w:val="00CD77EF"/>
    <w:rsid w:val="00CD79F6"/>
    <w:rsid w:val="00CE0B9B"/>
    <w:rsid w:val="00CE0DEF"/>
    <w:rsid w:val="00CE1333"/>
    <w:rsid w:val="00CE1D73"/>
    <w:rsid w:val="00CE21D6"/>
    <w:rsid w:val="00CE2A14"/>
    <w:rsid w:val="00CE2DBF"/>
    <w:rsid w:val="00CE2DC7"/>
    <w:rsid w:val="00CE2DF9"/>
    <w:rsid w:val="00CE3308"/>
    <w:rsid w:val="00CE35A2"/>
    <w:rsid w:val="00CE35F6"/>
    <w:rsid w:val="00CE3A4A"/>
    <w:rsid w:val="00CE3D7D"/>
    <w:rsid w:val="00CE44D5"/>
    <w:rsid w:val="00CE4A15"/>
    <w:rsid w:val="00CE4A64"/>
    <w:rsid w:val="00CE5005"/>
    <w:rsid w:val="00CE5150"/>
    <w:rsid w:val="00CE554E"/>
    <w:rsid w:val="00CE574F"/>
    <w:rsid w:val="00CE60C1"/>
    <w:rsid w:val="00CE60FB"/>
    <w:rsid w:val="00CE6624"/>
    <w:rsid w:val="00CE68A4"/>
    <w:rsid w:val="00CE6DFB"/>
    <w:rsid w:val="00CE72FC"/>
    <w:rsid w:val="00CE74D1"/>
    <w:rsid w:val="00CE7A72"/>
    <w:rsid w:val="00CF1D43"/>
    <w:rsid w:val="00CF2548"/>
    <w:rsid w:val="00CF29A9"/>
    <w:rsid w:val="00CF2C40"/>
    <w:rsid w:val="00CF2EB2"/>
    <w:rsid w:val="00CF3FC4"/>
    <w:rsid w:val="00CF437A"/>
    <w:rsid w:val="00CF4522"/>
    <w:rsid w:val="00CF499F"/>
    <w:rsid w:val="00CF4B70"/>
    <w:rsid w:val="00CF4BFD"/>
    <w:rsid w:val="00CF588B"/>
    <w:rsid w:val="00CF5AC5"/>
    <w:rsid w:val="00CF6511"/>
    <w:rsid w:val="00CF6D96"/>
    <w:rsid w:val="00CF7BB9"/>
    <w:rsid w:val="00D002AE"/>
    <w:rsid w:val="00D00D5C"/>
    <w:rsid w:val="00D00E54"/>
    <w:rsid w:val="00D00FF7"/>
    <w:rsid w:val="00D01342"/>
    <w:rsid w:val="00D01E8D"/>
    <w:rsid w:val="00D02538"/>
    <w:rsid w:val="00D026C5"/>
    <w:rsid w:val="00D02BBC"/>
    <w:rsid w:val="00D02D4D"/>
    <w:rsid w:val="00D02ECF"/>
    <w:rsid w:val="00D03403"/>
    <w:rsid w:val="00D03A1C"/>
    <w:rsid w:val="00D042B6"/>
    <w:rsid w:val="00D042CF"/>
    <w:rsid w:val="00D05A42"/>
    <w:rsid w:val="00D05C8C"/>
    <w:rsid w:val="00D05D94"/>
    <w:rsid w:val="00D063D4"/>
    <w:rsid w:val="00D063DD"/>
    <w:rsid w:val="00D0699B"/>
    <w:rsid w:val="00D06B7C"/>
    <w:rsid w:val="00D06C29"/>
    <w:rsid w:val="00D06F59"/>
    <w:rsid w:val="00D07EDB"/>
    <w:rsid w:val="00D103FB"/>
    <w:rsid w:val="00D10709"/>
    <w:rsid w:val="00D1076A"/>
    <w:rsid w:val="00D10BD7"/>
    <w:rsid w:val="00D1179A"/>
    <w:rsid w:val="00D117D0"/>
    <w:rsid w:val="00D123FE"/>
    <w:rsid w:val="00D13700"/>
    <w:rsid w:val="00D13C4B"/>
    <w:rsid w:val="00D13D49"/>
    <w:rsid w:val="00D13DD8"/>
    <w:rsid w:val="00D14F5A"/>
    <w:rsid w:val="00D15625"/>
    <w:rsid w:val="00D15656"/>
    <w:rsid w:val="00D16529"/>
    <w:rsid w:val="00D16BBA"/>
    <w:rsid w:val="00D175EA"/>
    <w:rsid w:val="00D17D9E"/>
    <w:rsid w:val="00D200EA"/>
    <w:rsid w:val="00D20BAC"/>
    <w:rsid w:val="00D20FB9"/>
    <w:rsid w:val="00D224D8"/>
    <w:rsid w:val="00D22820"/>
    <w:rsid w:val="00D229CB"/>
    <w:rsid w:val="00D2330B"/>
    <w:rsid w:val="00D23620"/>
    <w:rsid w:val="00D239AE"/>
    <w:rsid w:val="00D239EA"/>
    <w:rsid w:val="00D23BA5"/>
    <w:rsid w:val="00D2411C"/>
    <w:rsid w:val="00D2415E"/>
    <w:rsid w:val="00D244B0"/>
    <w:rsid w:val="00D24CCD"/>
    <w:rsid w:val="00D254AF"/>
    <w:rsid w:val="00D257D3"/>
    <w:rsid w:val="00D26089"/>
    <w:rsid w:val="00D26156"/>
    <w:rsid w:val="00D26E3B"/>
    <w:rsid w:val="00D27034"/>
    <w:rsid w:val="00D271C8"/>
    <w:rsid w:val="00D27378"/>
    <w:rsid w:val="00D27CD4"/>
    <w:rsid w:val="00D30025"/>
    <w:rsid w:val="00D30145"/>
    <w:rsid w:val="00D30267"/>
    <w:rsid w:val="00D308D2"/>
    <w:rsid w:val="00D3114B"/>
    <w:rsid w:val="00D3135D"/>
    <w:rsid w:val="00D31783"/>
    <w:rsid w:val="00D31B48"/>
    <w:rsid w:val="00D32170"/>
    <w:rsid w:val="00D3246F"/>
    <w:rsid w:val="00D329B9"/>
    <w:rsid w:val="00D329E0"/>
    <w:rsid w:val="00D32A92"/>
    <w:rsid w:val="00D32AC2"/>
    <w:rsid w:val="00D32AD4"/>
    <w:rsid w:val="00D32AD5"/>
    <w:rsid w:val="00D334D2"/>
    <w:rsid w:val="00D3350E"/>
    <w:rsid w:val="00D33633"/>
    <w:rsid w:val="00D33ED0"/>
    <w:rsid w:val="00D3420C"/>
    <w:rsid w:val="00D342B3"/>
    <w:rsid w:val="00D3448D"/>
    <w:rsid w:val="00D34883"/>
    <w:rsid w:val="00D34A9A"/>
    <w:rsid w:val="00D34ACD"/>
    <w:rsid w:val="00D34DA1"/>
    <w:rsid w:val="00D36B2C"/>
    <w:rsid w:val="00D36B46"/>
    <w:rsid w:val="00D36D6D"/>
    <w:rsid w:val="00D3761F"/>
    <w:rsid w:val="00D37880"/>
    <w:rsid w:val="00D37A49"/>
    <w:rsid w:val="00D402DC"/>
    <w:rsid w:val="00D4082C"/>
    <w:rsid w:val="00D40C94"/>
    <w:rsid w:val="00D40FD8"/>
    <w:rsid w:val="00D40FE8"/>
    <w:rsid w:val="00D412FF"/>
    <w:rsid w:val="00D41392"/>
    <w:rsid w:val="00D41987"/>
    <w:rsid w:val="00D41FF5"/>
    <w:rsid w:val="00D42084"/>
    <w:rsid w:val="00D420B2"/>
    <w:rsid w:val="00D42339"/>
    <w:rsid w:val="00D428F1"/>
    <w:rsid w:val="00D42CFA"/>
    <w:rsid w:val="00D42DD6"/>
    <w:rsid w:val="00D43144"/>
    <w:rsid w:val="00D4368B"/>
    <w:rsid w:val="00D436A8"/>
    <w:rsid w:val="00D43BA4"/>
    <w:rsid w:val="00D43FF9"/>
    <w:rsid w:val="00D44187"/>
    <w:rsid w:val="00D44195"/>
    <w:rsid w:val="00D44B2A"/>
    <w:rsid w:val="00D44C69"/>
    <w:rsid w:val="00D44F86"/>
    <w:rsid w:val="00D45510"/>
    <w:rsid w:val="00D4562E"/>
    <w:rsid w:val="00D45817"/>
    <w:rsid w:val="00D460C6"/>
    <w:rsid w:val="00D46BFB"/>
    <w:rsid w:val="00D46E9A"/>
    <w:rsid w:val="00D47837"/>
    <w:rsid w:val="00D50103"/>
    <w:rsid w:val="00D50146"/>
    <w:rsid w:val="00D5054B"/>
    <w:rsid w:val="00D5064B"/>
    <w:rsid w:val="00D5075B"/>
    <w:rsid w:val="00D50ED2"/>
    <w:rsid w:val="00D5171B"/>
    <w:rsid w:val="00D51B7E"/>
    <w:rsid w:val="00D51D42"/>
    <w:rsid w:val="00D52F72"/>
    <w:rsid w:val="00D53146"/>
    <w:rsid w:val="00D53264"/>
    <w:rsid w:val="00D53739"/>
    <w:rsid w:val="00D53761"/>
    <w:rsid w:val="00D53C45"/>
    <w:rsid w:val="00D53D60"/>
    <w:rsid w:val="00D545AC"/>
    <w:rsid w:val="00D54B22"/>
    <w:rsid w:val="00D557AB"/>
    <w:rsid w:val="00D558FB"/>
    <w:rsid w:val="00D55B05"/>
    <w:rsid w:val="00D55EE3"/>
    <w:rsid w:val="00D55FCC"/>
    <w:rsid w:val="00D5607F"/>
    <w:rsid w:val="00D564C2"/>
    <w:rsid w:val="00D571F2"/>
    <w:rsid w:val="00D57392"/>
    <w:rsid w:val="00D57C4B"/>
    <w:rsid w:val="00D601FC"/>
    <w:rsid w:val="00D603B1"/>
    <w:rsid w:val="00D6062C"/>
    <w:rsid w:val="00D60841"/>
    <w:rsid w:val="00D60881"/>
    <w:rsid w:val="00D60975"/>
    <w:rsid w:val="00D60A83"/>
    <w:rsid w:val="00D60DA9"/>
    <w:rsid w:val="00D60F49"/>
    <w:rsid w:val="00D61683"/>
    <w:rsid w:val="00D61C2B"/>
    <w:rsid w:val="00D61DCD"/>
    <w:rsid w:val="00D624E3"/>
    <w:rsid w:val="00D62EB2"/>
    <w:rsid w:val="00D630FF"/>
    <w:rsid w:val="00D63241"/>
    <w:rsid w:val="00D636FF"/>
    <w:rsid w:val="00D63C2C"/>
    <w:rsid w:val="00D6405E"/>
    <w:rsid w:val="00D64255"/>
    <w:rsid w:val="00D64426"/>
    <w:rsid w:val="00D65262"/>
    <w:rsid w:val="00D661C8"/>
    <w:rsid w:val="00D66906"/>
    <w:rsid w:val="00D66912"/>
    <w:rsid w:val="00D67900"/>
    <w:rsid w:val="00D67994"/>
    <w:rsid w:val="00D679C1"/>
    <w:rsid w:val="00D67A6B"/>
    <w:rsid w:val="00D67A8B"/>
    <w:rsid w:val="00D70363"/>
    <w:rsid w:val="00D709A8"/>
    <w:rsid w:val="00D70BC7"/>
    <w:rsid w:val="00D70FB5"/>
    <w:rsid w:val="00D7108A"/>
    <w:rsid w:val="00D71785"/>
    <w:rsid w:val="00D71AAE"/>
    <w:rsid w:val="00D71C63"/>
    <w:rsid w:val="00D722BE"/>
    <w:rsid w:val="00D72D68"/>
    <w:rsid w:val="00D730DF"/>
    <w:rsid w:val="00D73B6B"/>
    <w:rsid w:val="00D74150"/>
    <w:rsid w:val="00D74524"/>
    <w:rsid w:val="00D745A7"/>
    <w:rsid w:val="00D74B69"/>
    <w:rsid w:val="00D74E2B"/>
    <w:rsid w:val="00D756AB"/>
    <w:rsid w:val="00D758CE"/>
    <w:rsid w:val="00D75FC1"/>
    <w:rsid w:val="00D764E4"/>
    <w:rsid w:val="00D77076"/>
    <w:rsid w:val="00D77CC0"/>
    <w:rsid w:val="00D77D89"/>
    <w:rsid w:val="00D803E8"/>
    <w:rsid w:val="00D806F7"/>
    <w:rsid w:val="00D81094"/>
    <w:rsid w:val="00D81966"/>
    <w:rsid w:val="00D829D4"/>
    <w:rsid w:val="00D82EDF"/>
    <w:rsid w:val="00D83DFC"/>
    <w:rsid w:val="00D83F12"/>
    <w:rsid w:val="00D83F9B"/>
    <w:rsid w:val="00D84391"/>
    <w:rsid w:val="00D846A6"/>
    <w:rsid w:val="00D84813"/>
    <w:rsid w:val="00D84919"/>
    <w:rsid w:val="00D84CD3"/>
    <w:rsid w:val="00D84D25"/>
    <w:rsid w:val="00D85034"/>
    <w:rsid w:val="00D85185"/>
    <w:rsid w:val="00D85861"/>
    <w:rsid w:val="00D866CD"/>
    <w:rsid w:val="00D86995"/>
    <w:rsid w:val="00D869FF"/>
    <w:rsid w:val="00D86D08"/>
    <w:rsid w:val="00D86D11"/>
    <w:rsid w:val="00D87B01"/>
    <w:rsid w:val="00D908DE"/>
    <w:rsid w:val="00D90CDC"/>
    <w:rsid w:val="00D913C2"/>
    <w:rsid w:val="00D917CE"/>
    <w:rsid w:val="00D91AA4"/>
    <w:rsid w:val="00D91DCA"/>
    <w:rsid w:val="00D91FA9"/>
    <w:rsid w:val="00D920D5"/>
    <w:rsid w:val="00D922AA"/>
    <w:rsid w:val="00D92947"/>
    <w:rsid w:val="00D92A88"/>
    <w:rsid w:val="00D92E17"/>
    <w:rsid w:val="00D93684"/>
    <w:rsid w:val="00D9478D"/>
    <w:rsid w:val="00D953F6"/>
    <w:rsid w:val="00D95441"/>
    <w:rsid w:val="00D95675"/>
    <w:rsid w:val="00D95973"/>
    <w:rsid w:val="00D96657"/>
    <w:rsid w:val="00D9736D"/>
    <w:rsid w:val="00D97619"/>
    <w:rsid w:val="00D97C2D"/>
    <w:rsid w:val="00DA0019"/>
    <w:rsid w:val="00DA0185"/>
    <w:rsid w:val="00DA02BF"/>
    <w:rsid w:val="00DA09FD"/>
    <w:rsid w:val="00DA1329"/>
    <w:rsid w:val="00DA1604"/>
    <w:rsid w:val="00DA1612"/>
    <w:rsid w:val="00DA166F"/>
    <w:rsid w:val="00DA16FD"/>
    <w:rsid w:val="00DA186B"/>
    <w:rsid w:val="00DA1ACB"/>
    <w:rsid w:val="00DA230F"/>
    <w:rsid w:val="00DA23C6"/>
    <w:rsid w:val="00DA2853"/>
    <w:rsid w:val="00DA2983"/>
    <w:rsid w:val="00DA2A96"/>
    <w:rsid w:val="00DA31DD"/>
    <w:rsid w:val="00DA35F9"/>
    <w:rsid w:val="00DA3746"/>
    <w:rsid w:val="00DA3CE0"/>
    <w:rsid w:val="00DA4075"/>
    <w:rsid w:val="00DA40A2"/>
    <w:rsid w:val="00DA41AD"/>
    <w:rsid w:val="00DA454E"/>
    <w:rsid w:val="00DA468D"/>
    <w:rsid w:val="00DA46C5"/>
    <w:rsid w:val="00DA48A5"/>
    <w:rsid w:val="00DA4AF9"/>
    <w:rsid w:val="00DA4EFD"/>
    <w:rsid w:val="00DA4FCF"/>
    <w:rsid w:val="00DA5114"/>
    <w:rsid w:val="00DA5219"/>
    <w:rsid w:val="00DA5531"/>
    <w:rsid w:val="00DA56D1"/>
    <w:rsid w:val="00DA57F6"/>
    <w:rsid w:val="00DA5ECC"/>
    <w:rsid w:val="00DA62B9"/>
    <w:rsid w:val="00DA647E"/>
    <w:rsid w:val="00DA6B02"/>
    <w:rsid w:val="00DA717C"/>
    <w:rsid w:val="00DA7AD7"/>
    <w:rsid w:val="00DA7BFC"/>
    <w:rsid w:val="00DA7D3D"/>
    <w:rsid w:val="00DA7DB8"/>
    <w:rsid w:val="00DB08F8"/>
    <w:rsid w:val="00DB0F6F"/>
    <w:rsid w:val="00DB106F"/>
    <w:rsid w:val="00DB11F6"/>
    <w:rsid w:val="00DB123B"/>
    <w:rsid w:val="00DB1338"/>
    <w:rsid w:val="00DB19AD"/>
    <w:rsid w:val="00DB1B8E"/>
    <w:rsid w:val="00DB2004"/>
    <w:rsid w:val="00DB20C7"/>
    <w:rsid w:val="00DB21A6"/>
    <w:rsid w:val="00DB244B"/>
    <w:rsid w:val="00DB288C"/>
    <w:rsid w:val="00DB2C2A"/>
    <w:rsid w:val="00DB3089"/>
    <w:rsid w:val="00DB3473"/>
    <w:rsid w:val="00DB4346"/>
    <w:rsid w:val="00DB5142"/>
    <w:rsid w:val="00DB5A27"/>
    <w:rsid w:val="00DB60BF"/>
    <w:rsid w:val="00DB661E"/>
    <w:rsid w:val="00DB662E"/>
    <w:rsid w:val="00DB67FC"/>
    <w:rsid w:val="00DB6B70"/>
    <w:rsid w:val="00DB6C85"/>
    <w:rsid w:val="00DB6E80"/>
    <w:rsid w:val="00DB73C0"/>
    <w:rsid w:val="00DB7712"/>
    <w:rsid w:val="00DB7A1A"/>
    <w:rsid w:val="00DB7BF4"/>
    <w:rsid w:val="00DB7D98"/>
    <w:rsid w:val="00DC0888"/>
    <w:rsid w:val="00DC0A09"/>
    <w:rsid w:val="00DC0D0A"/>
    <w:rsid w:val="00DC11C9"/>
    <w:rsid w:val="00DC132D"/>
    <w:rsid w:val="00DC16BF"/>
    <w:rsid w:val="00DC1812"/>
    <w:rsid w:val="00DC24F0"/>
    <w:rsid w:val="00DC260C"/>
    <w:rsid w:val="00DC2F23"/>
    <w:rsid w:val="00DC3319"/>
    <w:rsid w:val="00DC3323"/>
    <w:rsid w:val="00DC3711"/>
    <w:rsid w:val="00DC3EC9"/>
    <w:rsid w:val="00DC4A9E"/>
    <w:rsid w:val="00DC5920"/>
    <w:rsid w:val="00DC5984"/>
    <w:rsid w:val="00DC5ADC"/>
    <w:rsid w:val="00DC5AFB"/>
    <w:rsid w:val="00DC5E77"/>
    <w:rsid w:val="00DC61F5"/>
    <w:rsid w:val="00DC6539"/>
    <w:rsid w:val="00DC6704"/>
    <w:rsid w:val="00DC675F"/>
    <w:rsid w:val="00DC6A92"/>
    <w:rsid w:val="00DC71EE"/>
    <w:rsid w:val="00DC723A"/>
    <w:rsid w:val="00DC7283"/>
    <w:rsid w:val="00DC799B"/>
    <w:rsid w:val="00DC7D3B"/>
    <w:rsid w:val="00DC7EFD"/>
    <w:rsid w:val="00DD00ED"/>
    <w:rsid w:val="00DD018A"/>
    <w:rsid w:val="00DD023C"/>
    <w:rsid w:val="00DD071E"/>
    <w:rsid w:val="00DD08AE"/>
    <w:rsid w:val="00DD0AB1"/>
    <w:rsid w:val="00DD0DCC"/>
    <w:rsid w:val="00DD0F4F"/>
    <w:rsid w:val="00DD10F2"/>
    <w:rsid w:val="00DD155C"/>
    <w:rsid w:val="00DD15A4"/>
    <w:rsid w:val="00DD1C13"/>
    <w:rsid w:val="00DD1E9A"/>
    <w:rsid w:val="00DD1EC9"/>
    <w:rsid w:val="00DD215B"/>
    <w:rsid w:val="00DD2942"/>
    <w:rsid w:val="00DD2B8F"/>
    <w:rsid w:val="00DD2DCA"/>
    <w:rsid w:val="00DD3D12"/>
    <w:rsid w:val="00DD4A42"/>
    <w:rsid w:val="00DD4CF5"/>
    <w:rsid w:val="00DD4CF8"/>
    <w:rsid w:val="00DD4D29"/>
    <w:rsid w:val="00DD4F49"/>
    <w:rsid w:val="00DD52DF"/>
    <w:rsid w:val="00DD5713"/>
    <w:rsid w:val="00DD5997"/>
    <w:rsid w:val="00DD5D64"/>
    <w:rsid w:val="00DD620A"/>
    <w:rsid w:val="00DD6AD2"/>
    <w:rsid w:val="00DD6B26"/>
    <w:rsid w:val="00DD6F32"/>
    <w:rsid w:val="00DD78BF"/>
    <w:rsid w:val="00DD7F86"/>
    <w:rsid w:val="00DE19E1"/>
    <w:rsid w:val="00DE2426"/>
    <w:rsid w:val="00DE2792"/>
    <w:rsid w:val="00DE281B"/>
    <w:rsid w:val="00DE2B0A"/>
    <w:rsid w:val="00DE2C51"/>
    <w:rsid w:val="00DE2D2C"/>
    <w:rsid w:val="00DE2D35"/>
    <w:rsid w:val="00DE2F45"/>
    <w:rsid w:val="00DE2FC3"/>
    <w:rsid w:val="00DE357E"/>
    <w:rsid w:val="00DE3636"/>
    <w:rsid w:val="00DE37B4"/>
    <w:rsid w:val="00DE3BAD"/>
    <w:rsid w:val="00DE4ADC"/>
    <w:rsid w:val="00DE4EB6"/>
    <w:rsid w:val="00DE51FB"/>
    <w:rsid w:val="00DE632E"/>
    <w:rsid w:val="00DE63AE"/>
    <w:rsid w:val="00DE6C7F"/>
    <w:rsid w:val="00DE7358"/>
    <w:rsid w:val="00DE757E"/>
    <w:rsid w:val="00DE75AC"/>
    <w:rsid w:val="00DE7B7D"/>
    <w:rsid w:val="00DE7BF9"/>
    <w:rsid w:val="00DE7EAF"/>
    <w:rsid w:val="00DF087A"/>
    <w:rsid w:val="00DF0E2D"/>
    <w:rsid w:val="00DF1723"/>
    <w:rsid w:val="00DF190C"/>
    <w:rsid w:val="00DF1AFF"/>
    <w:rsid w:val="00DF1B6B"/>
    <w:rsid w:val="00DF1B98"/>
    <w:rsid w:val="00DF1C77"/>
    <w:rsid w:val="00DF2301"/>
    <w:rsid w:val="00DF2318"/>
    <w:rsid w:val="00DF2400"/>
    <w:rsid w:val="00DF24E1"/>
    <w:rsid w:val="00DF2567"/>
    <w:rsid w:val="00DF29BD"/>
    <w:rsid w:val="00DF29F6"/>
    <w:rsid w:val="00DF2A7E"/>
    <w:rsid w:val="00DF2AEF"/>
    <w:rsid w:val="00DF2CC3"/>
    <w:rsid w:val="00DF3079"/>
    <w:rsid w:val="00DF3481"/>
    <w:rsid w:val="00DF37E6"/>
    <w:rsid w:val="00DF3CFE"/>
    <w:rsid w:val="00DF3FDF"/>
    <w:rsid w:val="00DF4086"/>
    <w:rsid w:val="00DF40D0"/>
    <w:rsid w:val="00DF410D"/>
    <w:rsid w:val="00DF41AB"/>
    <w:rsid w:val="00DF4648"/>
    <w:rsid w:val="00DF5269"/>
    <w:rsid w:val="00DF5644"/>
    <w:rsid w:val="00DF59DF"/>
    <w:rsid w:val="00DF5A72"/>
    <w:rsid w:val="00DF5FB9"/>
    <w:rsid w:val="00DF63B5"/>
    <w:rsid w:val="00DF667E"/>
    <w:rsid w:val="00DF6FEF"/>
    <w:rsid w:val="00DF7379"/>
    <w:rsid w:val="00DF73C2"/>
    <w:rsid w:val="00DF743E"/>
    <w:rsid w:val="00DF7A2A"/>
    <w:rsid w:val="00E00054"/>
    <w:rsid w:val="00E0009E"/>
    <w:rsid w:val="00E003A9"/>
    <w:rsid w:val="00E008F5"/>
    <w:rsid w:val="00E00C00"/>
    <w:rsid w:val="00E00E72"/>
    <w:rsid w:val="00E00F21"/>
    <w:rsid w:val="00E01DC0"/>
    <w:rsid w:val="00E023EC"/>
    <w:rsid w:val="00E0254B"/>
    <w:rsid w:val="00E02690"/>
    <w:rsid w:val="00E026C2"/>
    <w:rsid w:val="00E02EDE"/>
    <w:rsid w:val="00E03044"/>
    <w:rsid w:val="00E0320A"/>
    <w:rsid w:val="00E03BD4"/>
    <w:rsid w:val="00E03F09"/>
    <w:rsid w:val="00E04066"/>
    <w:rsid w:val="00E043B3"/>
    <w:rsid w:val="00E0442D"/>
    <w:rsid w:val="00E04663"/>
    <w:rsid w:val="00E04755"/>
    <w:rsid w:val="00E04BF3"/>
    <w:rsid w:val="00E04D27"/>
    <w:rsid w:val="00E04EAB"/>
    <w:rsid w:val="00E04FA5"/>
    <w:rsid w:val="00E0534F"/>
    <w:rsid w:val="00E05413"/>
    <w:rsid w:val="00E0556D"/>
    <w:rsid w:val="00E0593F"/>
    <w:rsid w:val="00E06594"/>
    <w:rsid w:val="00E0694F"/>
    <w:rsid w:val="00E076A2"/>
    <w:rsid w:val="00E07B13"/>
    <w:rsid w:val="00E07E5C"/>
    <w:rsid w:val="00E07EFC"/>
    <w:rsid w:val="00E1004C"/>
    <w:rsid w:val="00E1007F"/>
    <w:rsid w:val="00E10256"/>
    <w:rsid w:val="00E10376"/>
    <w:rsid w:val="00E108B7"/>
    <w:rsid w:val="00E1097F"/>
    <w:rsid w:val="00E11A9A"/>
    <w:rsid w:val="00E11B6C"/>
    <w:rsid w:val="00E11DC2"/>
    <w:rsid w:val="00E1449C"/>
    <w:rsid w:val="00E145EC"/>
    <w:rsid w:val="00E14A83"/>
    <w:rsid w:val="00E14B08"/>
    <w:rsid w:val="00E14E48"/>
    <w:rsid w:val="00E15074"/>
    <w:rsid w:val="00E15203"/>
    <w:rsid w:val="00E15837"/>
    <w:rsid w:val="00E160FB"/>
    <w:rsid w:val="00E1694C"/>
    <w:rsid w:val="00E16EED"/>
    <w:rsid w:val="00E17015"/>
    <w:rsid w:val="00E1707B"/>
    <w:rsid w:val="00E17576"/>
    <w:rsid w:val="00E17618"/>
    <w:rsid w:val="00E17BCA"/>
    <w:rsid w:val="00E203DA"/>
    <w:rsid w:val="00E20917"/>
    <w:rsid w:val="00E209B3"/>
    <w:rsid w:val="00E20A33"/>
    <w:rsid w:val="00E2148C"/>
    <w:rsid w:val="00E2160C"/>
    <w:rsid w:val="00E219CC"/>
    <w:rsid w:val="00E22C51"/>
    <w:rsid w:val="00E22E97"/>
    <w:rsid w:val="00E2353B"/>
    <w:rsid w:val="00E236A0"/>
    <w:rsid w:val="00E236DE"/>
    <w:rsid w:val="00E2386E"/>
    <w:rsid w:val="00E23C2D"/>
    <w:rsid w:val="00E24058"/>
    <w:rsid w:val="00E243C9"/>
    <w:rsid w:val="00E24830"/>
    <w:rsid w:val="00E24C7D"/>
    <w:rsid w:val="00E24E4D"/>
    <w:rsid w:val="00E2515E"/>
    <w:rsid w:val="00E25DF8"/>
    <w:rsid w:val="00E26519"/>
    <w:rsid w:val="00E26F6B"/>
    <w:rsid w:val="00E2714E"/>
    <w:rsid w:val="00E275CC"/>
    <w:rsid w:val="00E2797F"/>
    <w:rsid w:val="00E27D1E"/>
    <w:rsid w:val="00E27DAA"/>
    <w:rsid w:val="00E301E1"/>
    <w:rsid w:val="00E3045C"/>
    <w:rsid w:val="00E306E5"/>
    <w:rsid w:val="00E30A40"/>
    <w:rsid w:val="00E30E45"/>
    <w:rsid w:val="00E311C2"/>
    <w:rsid w:val="00E312A3"/>
    <w:rsid w:val="00E3135E"/>
    <w:rsid w:val="00E31F35"/>
    <w:rsid w:val="00E32406"/>
    <w:rsid w:val="00E32643"/>
    <w:rsid w:val="00E32E00"/>
    <w:rsid w:val="00E33264"/>
    <w:rsid w:val="00E332F0"/>
    <w:rsid w:val="00E33519"/>
    <w:rsid w:val="00E33D20"/>
    <w:rsid w:val="00E33DAA"/>
    <w:rsid w:val="00E33DBB"/>
    <w:rsid w:val="00E3432F"/>
    <w:rsid w:val="00E3439D"/>
    <w:rsid w:val="00E34533"/>
    <w:rsid w:val="00E348E9"/>
    <w:rsid w:val="00E34DED"/>
    <w:rsid w:val="00E34F5D"/>
    <w:rsid w:val="00E3508F"/>
    <w:rsid w:val="00E35139"/>
    <w:rsid w:val="00E35207"/>
    <w:rsid w:val="00E35461"/>
    <w:rsid w:val="00E358DB"/>
    <w:rsid w:val="00E35F5A"/>
    <w:rsid w:val="00E3602A"/>
    <w:rsid w:val="00E36332"/>
    <w:rsid w:val="00E36B64"/>
    <w:rsid w:val="00E37052"/>
    <w:rsid w:val="00E370C2"/>
    <w:rsid w:val="00E3751A"/>
    <w:rsid w:val="00E37A2F"/>
    <w:rsid w:val="00E37E4F"/>
    <w:rsid w:val="00E40179"/>
    <w:rsid w:val="00E40456"/>
    <w:rsid w:val="00E4049B"/>
    <w:rsid w:val="00E4090D"/>
    <w:rsid w:val="00E4098A"/>
    <w:rsid w:val="00E40A45"/>
    <w:rsid w:val="00E40EC3"/>
    <w:rsid w:val="00E41179"/>
    <w:rsid w:val="00E419A2"/>
    <w:rsid w:val="00E4222A"/>
    <w:rsid w:val="00E42695"/>
    <w:rsid w:val="00E426B6"/>
    <w:rsid w:val="00E42916"/>
    <w:rsid w:val="00E42CA3"/>
    <w:rsid w:val="00E42DE5"/>
    <w:rsid w:val="00E42E5A"/>
    <w:rsid w:val="00E42ED9"/>
    <w:rsid w:val="00E4306E"/>
    <w:rsid w:val="00E435A4"/>
    <w:rsid w:val="00E43C56"/>
    <w:rsid w:val="00E443A9"/>
    <w:rsid w:val="00E44C86"/>
    <w:rsid w:val="00E44C9F"/>
    <w:rsid w:val="00E44F88"/>
    <w:rsid w:val="00E45116"/>
    <w:rsid w:val="00E45817"/>
    <w:rsid w:val="00E46B1A"/>
    <w:rsid w:val="00E47151"/>
    <w:rsid w:val="00E47168"/>
    <w:rsid w:val="00E50578"/>
    <w:rsid w:val="00E50FE1"/>
    <w:rsid w:val="00E51277"/>
    <w:rsid w:val="00E51788"/>
    <w:rsid w:val="00E51F64"/>
    <w:rsid w:val="00E5233A"/>
    <w:rsid w:val="00E52E88"/>
    <w:rsid w:val="00E53228"/>
    <w:rsid w:val="00E53379"/>
    <w:rsid w:val="00E537F6"/>
    <w:rsid w:val="00E53E03"/>
    <w:rsid w:val="00E54B0A"/>
    <w:rsid w:val="00E54BC1"/>
    <w:rsid w:val="00E54E2B"/>
    <w:rsid w:val="00E54EAD"/>
    <w:rsid w:val="00E54F01"/>
    <w:rsid w:val="00E55779"/>
    <w:rsid w:val="00E55E43"/>
    <w:rsid w:val="00E55EA1"/>
    <w:rsid w:val="00E56005"/>
    <w:rsid w:val="00E5607F"/>
    <w:rsid w:val="00E56447"/>
    <w:rsid w:val="00E56465"/>
    <w:rsid w:val="00E567B9"/>
    <w:rsid w:val="00E568D9"/>
    <w:rsid w:val="00E56B24"/>
    <w:rsid w:val="00E56B95"/>
    <w:rsid w:val="00E56F7D"/>
    <w:rsid w:val="00E57076"/>
    <w:rsid w:val="00E57146"/>
    <w:rsid w:val="00E57841"/>
    <w:rsid w:val="00E5794D"/>
    <w:rsid w:val="00E57DDE"/>
    <w:rsid w:val="00E57EF2"/>
    <w:rsid w:val="00E600B1"/>
    <w:rsid w:val="00E607E0"/>
    <w:rsid w:val="00E60829"/>
    <w:rsid w:val="00E61A8D"/>
    <w:rsid w:val="00E62314"/>
    <w:rsid w:val="00E623CC"/>
    <w:rsid w:val="00E6327B"/>
    <w:rsid w:val="00E63A2F"/>
    <w:rsid w:val="00E63A9C"/>
    <w:rsid w:val="00E646A2"/>
    <w:rsid w:val="00E64870"/>
    <w:rsid w:val="00E65165"/>
    <w:rsid w:val="00E651DA"/>
    <w:rsid w:val="00E651F5"/>
    <w:rsid w:val="00E6557C"/>
    <w:rsid w:val="00E6576E"/>
    <w:rsid w:val="00E65BF8"/>
    <w:rsid w:val="00E663F4"/>
    <w:rsid w:val="00E66776"/>
    <w:rsid w:val="00E6682B"/>
    <w:rsid w:val="00E6683C"/>
    <w:rsid w:val="00E66886"/>
    <w:rsid w:val="00E66A4E"/>
    <w:rsid w:val="00E66BBB"/>
    <w:rsid w:val="00E67067"/>
    <w:rsid w:val="00E67397"/>
    <w:rsid w:val="00E67AAA"/>
    <w:rsid w:val="00E67BB5"/>
    <w:rsid w:val="00E67C9D"/>
    <w:rsid w:val="00E67DF7"/>
    <w:rsid w:val="00E67E78"/>
    <w:rsid w:val="00E70023"/>
    <w:rsid w:val="00E70308"/>
    <w:rsid w:val="00E70A5D"/>
    <w:rsid w:val="00E70AF3"/>
    <w:rsid w:val="00E71061"/>
    <w:rsid w:val="00E71290"/>
    <w:rsid w:val="00E71440"/>
    <w:rsid w:val="00E71A4A"/>
    <w:rsid w:val="00E71B52"/>
    <w:rsid w:val="00E71CBE"/>
    <w:rsid w:val="00E72189"/>
    <w:rsid w:val="00E72240"/>
    <w:rsid w:val="00E722B0"/>
    <w:rsid w:val="00E724DB"/>
    <w:rsid w:val="00E727D7"/>
    <w:rsid w:val="00E72844"/>
    <w:rsid w:val="00E72D1C"/>
    <w:rsid w:val="00E734D0"/>
    <w:rsid w:val="00E73E39"/>
    <w:rsid w:val="00E743D3"/>
    <w:rsid w:val="00E744B0"/>
    <w:rsid w:val="00E74739"/>
    <w:rsid w:val="00E74919"/>
    <w:rsid w:val="00E74F54"/>
    <w:rsid w:val="00E75595"/>
    <w:rsid w:val="00E75A96"/>
    <w:rsid w:val="00E75AA6"/>
    <w:rsid w:val="00E75FA4"/>
    <w:rsid w:val="00E765E9"/>
    <w:rsid w:val="00E7694F"/>
    <w:rsid w:val="00E76A82"/>
    <w:rsid w:val="00E76AEC"/>
    <w:rsid w:val="00E76EDE"/>
    <w:rsid w:val="00E77E80"/>
    <w:rsid w:val="00E80055"/>
    <w:rsid w:val="00E80228"/>
    <w:rsid w:val="00E80510"/>
    <w:rsid w:val="00E80725"/>
    <w:rsid w:val="00E80CDB"/>
    <w:rsid w:val="00E80D97"/>
    <w:rsid w:val="00E80EEE"/>
    <w:rsid w:val="00E81003"/>
    <w:rsid w:val="00E810B4"/>
    <w:rsid w:val="00E81D53"/>
    <w:rsid w:val="00E82017"/>
    <w:rsid w:val="00E8232E"/>
    <w:rsid w:val="00E8263D"/>
    <w:rsid w:val="00E82A5E"/>
    <w:rsid w:val="00E82AAB"/>
    <w:rsid w:val="00E82C96"/>
    <w:rsid w:val="00E82FBE"/>
    <w:rsid w:val="00E83373"/>
    <w:rsid w:val="00E83B82"/>
    <w:rsid w:val="00E841F9"/>
    <w:rsid w:val="00E84D0B"/>
    <w:rsid w:val="00E84D70"/>
    <w:rsid w:val="00E84FD2"/>
    <w:rsid w:val="00E8500C"/>
    <w:rsid w:val="00E852C5"/>
    <w:rsid w:val="00E85331"/>
    <w:rsid w:val="00E85457"/>
    <w:rsid w:val="00E85BC3"/>
    <w:rsid w:val="00E85C21"/>
    <w:rsid w:val="00E86A1A"/>
    <w:rsid w:val="00E86F2D"/>
    <w:rsid w:val="00E876DE"/>
    <w:rsid w:val="00E879A6"/>
    <w:rsid w:val="00E87AE1"/>
    <w:rsid w:val="00E87BA9"/>
    <w:rsid w:val="00E87F17"/>
    <w:rsid w:val="00E901BD"/>
    <w:rsid w:val="00E90330"/>
    <w:rsid w:val="00E9096C"/>
    <w:rsid w:val="00E90E93"/>
    <w:rsid w:val="00E90EB0"/>
    <w:rsid w:val="00E91449"/>
    <w:rsid w:val="00E915BC"/>
    <w:rsid w:val="00E916D1"/>
    <w:rsid w:val="00E91D4A"/>
    <w:rsid w:val="00E91F84"/>
    <w:rsid w:val="00E923CF"/>
    <w:rsid w:val="00E9291A"/>
    <w:rsid w:val="00E9321D"/>
    <w:rsid w:val="00E932B1"/>
    <w:rsid w:val="00E939E0"/>
    <w:rsid w:val="00E955FA"/>
    <w:rsid w:val="00E9619B"/>
    <w:rsid w:val="00E964CA"/>
    <w:rsid w:val="00E9652F"/>
    <w:rsid w:val="00E96938"/>
    <w:rsid w:val="00E969AA"/>
    <w:rsid w:val="00E972E9"/>
    <w:rsid w:val="00E97844"/>
    <w:rsid w:val="00E97B8D"/>
    <w:rsid w:val="00E97DDC"/>
    <w:rsid w:val="00E97E04"/>
    <w:rsid w:val="00E97EDE"/>
    <w:rsid w:val="00EA0016"/>
    <w:rsid w:val="00EA0421"/>
    <w:rsid w:val="00EA0E56"/>
    <w:rsid w:val="00EA1696"/>
    <w:rsid w:val="00EA1931"/>
    <w:rsid w:val="00EA1EB1"/>
    <w:rsid w:val="00EA1FDB"/>
    <w:rsid w:val="00EA1FF6"/>
    <w:rsid w:val="00EA26EE"/>
    <w:rsid w:val="00EA2D2B"/>
    <w:rsid w:val="00EA2E24"/>
    <w:rsid w:val="00EA315E"/>
    <w:rsid w:val="00EA353A"/>
    <w:rsid w:val="00EA3572"/>
    <w:rsid w:val="00EA390A"/>
    <w:rsid w:val="00EA3CF4"/>
    <w:rsid w:val="00EA427E"/>
    <w:rsid w:val="00EA46CC"/>
    <w:rsid w:val="00EA5749"/>
    <w:rsid w:val="00EA67B9"/>
    <w:rsid w:val="00EA67D2"/>
    <w:rsid w:val="00EA6D4B"/>
    <w:rsid w:val="00EA6DFE"/>
    <w:rsid w:val="00EA70B2"/>
    <w:rsid w:val="00EA732D"/>
    <w:rsid w:val="00EA7864"/>
    <w:rsid w:val="00EB0566"/>
    <w:rsid w:val="00EB058F"/>
    <w:rsid w:val="00EB080B"/>
    <w:rsid w:val="00EB096C"/>
    <w:rsid w:val="00EB0B63"/>
    <w:rsid w:val="00EB10FF"/>
    <w:rsid w:val="00EB2059"/>
    <w:rsid w:val="00EB276E"/>
    <w:rsid w:val="00EB2A1F"/>
    <w:rsid w:val="00EB2D3A"/>
    <w:rsid w:val="00EB2DDE"/>
    <w:rsid w:val="00EB31BC"/>
    <w:rsid w:val="00EB3ED5"/>
    <w:rsid w:val="00EB42DC"/>
    <w:rsid w:val="00EB4F79"/>
    <w:rsid w:val="00EB59BB"/>
    <w:rsid w:val="00EB5C15"/>
    <w:rsid w:val="00EB6504"/>
    <w:rsid w:val="00EB7605"/>
    <w:rsid w:val="00EB7AEA"/>
    <w:rsid w:val="00EC0314"/>
    <w:rsid w:val="00EC05D8"/>
    <w:rsid w:val="00EC06A6"/>
    <w:rsid w:val="00EC0870"/>
    <w:rsid w:val="00EC11DE"/>
    <w:rsid w:val="00EC11E1"/>
    <w:rsid w:val="00EC15A1"/>
    <w:rsid w:val="00EC20AA"/>
    <w:rsid w:val="00EC231E"/>
    <w:rsid w:val="00EC24CC"/>
    <w:rsid w:val="00EC2996"/>
    <w:rsid w:val="00EC2B76"/>
    <w:rsid w:val="00EC2D90"/>
    <w:rsid w:val="00EC2E12"/>
    <w:rsid w:val="00EC2EDC"/>
    <w:rsid w:val="00EC3620"/>
    <w:rsid w:val="00EC370A"/>
    <w:rsid w:val="00EC4763"/>
    <w:rsid w:val="00EC4A3A"/>
    <w:rsid w:val="00EC5392"/>
    <w:rsid w:val="00EC539B"/>
    <w:rsid w:val="00EC5673"/>
    <w:rsid w:val="00EC5688"/>
    <w:rsid w:val="00EC5A49"/>
    <w:rsid w:val="00EC6997"/>
    <w:rsid w:val="00EC6CB9"/>
    <w:rsid w:val="00EC779B"/>
    <w:rsid w:val="00ED0040"/>
    <w:rsid w:val="00ED0457"/>
    <w:rsid w:val="00ED0AD7"/>
    <w:rsid w:val="00ED119A"/>
    <w:rsid w:val="00ED1783"/>
    <w:rsid w:val="00ED19F7"/>
    <w:rsid w:val="00ED1AF9"/>
    <w:rsid w:val="00ED1B5D"/>
    <w:rsid w:val="00ED2081"/>
    <w:rsid w:val="00ED22BF"/>
    <w:rsid w:val="00ED2435"/>
    <w:rsid w:val="00ED2681"/>
    <w:rsid w:val="00ED2E12"/>
    <w:rsid w:val="00ED3179"/>
    <w:rsid w:val="00ED4345"/>
    <w:rsid w:val="00ED455F"/>
    <w:rsid w:val="00ED45F4"/>
    <w:rsid w:val="00ED4685"/>
    <w:rsid w:val="00ED49AE"/>
    <w:rsid w:val="00ED4BD0"/>
    <w:rsid w:val="00ED4CA2"/>
    <w:rsid w:val="00ED52FA"/>
    <w:rsid w:val="00ED5414"/>
    <w:rsid w:val="00ED55D5"/>
    <w:rsid w:val="00ED637B"/>
    <w:rsid w:val="00ED65C2"/>
    <w:rsid w:val="00ED6B47"/>
    <w:rsid w:val="00ED6D9E"/>
    <w:rsid w:val="00ED717A"/>
    <w:rsid w:val="00ED7387"/>
    <w:rsid w:val="00ED7586"/>
    <w:rsid w:val="00ED7D85"/>
    <w:rsid w:val="00EE039A"/>
    <w:rsid w:val="00EE16B9"/>
    <w:rsid w:val="00EE1DFB"/>
    <w:rsid w:val="00EE1E58"/>
    <w:rsid w:val="00EE1E7E"/>
    <w:rsid w:val="00EE224C"/>
    <w:rsid w:val="00EE29D8"/>
    <w:rsid w:val="00EE2BA2"/>
    <w:rsid w:val="00EE2C66"/>
    <w:rsid w:val="00EE2D10"/>
    <w:rsid w:val="00EE3545"/>
    <w:rsid w:val="00EE3884"/>
    <w:rsid w:val="00EE38F0"/>
    <w:rsid w:val="00EE39AB"/>
    <w:rsid w:val="00EE4034"/>
    <w:rsid w:val="00EE43DF"/>
    <w:rsid w:val="00EE47C5"/>
    <w:rsid w:val="00EE47F7"/>
    <w:rsid w:val="00EE4903"/>
    <w:rsid w:val="00EE4AB6"/>
    <w:rsid w:val="00EE4AEA"/>
    <w:rsid w:val="00EE4F95"/>
    <w:rsid w:val="00EE50EB"/>
    <w:rsid w:val="00EE57F1"/>
    <w:rsid w:val="00EE5B5B"/>
    <w:rsid w:val="00EE5EF0"/>
    <w:rsid w:val="00EE61C0"/>
    <w:rsid w:val="00EE62F6"/>
    <w:rsid w:val="00EE63E0"/>
    <w:rsid w:val="00EE6ECF"/>
    <w:rsid w:val="00EE7543"/>
    <w:rsid w:val="00EE7A30"/>
    <w:rsid w:val="00EF007D"/>
    <w:rsid w:val="00EF031C"/>
    <w:rsid w:val="00EF0648"/>
    <w:rsid w:val="00EF06D7"/>
    <w:rsid w:val="00EF0935"/>
    <w:rsid w:val="00EF1A4F"/>
    <w:rsid w:val="00EF1DE0"/>
    <w:rsid w:val="00EF1DEA"/>
    <w:rsid w:val="00EF1FFA"/>
    <w:rsid w:val="00EF22E8"/>
    <w:rsid w:val="00EF2522"/>
    <w:rsid w:val="00EF2A0A"/>
    <w:rsid w:val="00EF2A2A"/>
    <w:rsid w:val="00EF2E62"/>
    <w:rsid w:val="00EF306D"/>
    <w:rsid w:val="00EF35FE"/>
    <w:rsid w:val="00EF3651"/>
    <w:rsid w:val="00EF3C61"/>
    <w:rsid w:val="00EF3E61"/>
    <w:rsid w:val="00EF3F26"/>
    <w:rsid w:val="00EF3F97"/>
    <w:rsid w:val="00EF40F8"/>
    <w:rsid w:val="00EF42DD"/>
    <w:rsid w:val="00EF4BB4"/>
    <w:rsid w:val="00EF4C50"/>
    <w:rsid w:val="00EF59C8"/>
    <w:rsid w:val="00EF61A4"/>
    <w:rsid w:val="00EF668C"/>
    <w:rsid w:val="00EF76CE"/>
    <w:rsid w:val="00EF7703"/>
    <w:rsid w:val="00F00413"/>
    <w:rsid w:val="00F006CC"/>
    <w:rsid w:val="00F0085E"/>
    <w:rsid w:val="00F00ACD"/>
    <w:rsid w:val="00F00B25"/>
    <w:rsid w:val="00F00B3E"/>
    <w:rsid w:val="00F01AE8"/>
    <w:rsid w:val="00F01BA9"/>
    <w:rsid w:val="00F02307"/>
    <w:rsid w:val="00F0293C"/>
    <w:rsid w:val="00F03425"/>
    <w:rsid w:val="00F03923"/>
    <w:rsid w:val="00F03B53"/>
    <w:rsid w:val="00F03D96"/>
    <w:rsid w:val="00F04083"/>
    <w:rsid w:val="00F04DF0"/>
    <w:rsid w:val="00F0521B"/>
    <w:rsid w:val="00F056C1"/>
    <w:rsid w:val="00F06547"/>
    <w:rsid w:val="00F06B68"/>
    <w:rsid w:val="00F07012"/>
    <w:rsid w:val="00F070F2"/>
    <w:rsid w:val="00F074ED"/>
    <w:rsid w:val="00F07556"/>
    <w:rsid w:val="00F07813"/>
    <w:rsid w:val="00F07A8D"/>
    <w:rsid w:val="00F07A8F"/>
    <w:rsid w:val="00F07C88"/>
    <w:rsid w:val="00F07E4E"/>
    <w:rsid w:val="00F11761"/>
    <w:rsid w:val="00F11932"/>
    <w:rsid w:val="00F11977"/>
    <w:rsid w:val="00F11C4A"/>
    <w:rsid w:val="00F11DE2"/>
    <w:rsid w:val="00F124C0"/>
    <w:rsid w:val="00F1283E"/>
    <w:rsid w:val="00F1292A"/>
    <w:rsid w:val="00F12C1E"/>
    <w:rsid w:val="00F134B9"/>
    <w:rsid w:val="00F13664"/>
    <w:rsid w:val="00F14422"/>
    <w:rsid w:val="00F14972"/>
    <w:rsid w:val="00F150F2"/>
    <w:rsid w:val="00F1541D"/>
    <w:rsid w:val="00F156FD"/>
    <w:rsid w:val="00F15975"/>
    <w:rsid w:val="00F16091"/>
    <w:rsid w:val="00F1620D"/>
    <w:rsid w:val="00F165F7"/>
    <w:rsid w:val="00F16758"/>
    <w:rsid w:val="00F169D1"/>
    <w:rsid w:val="00F17062"/>
    <w:rsid w:val="00F17174"/>
    <w:rsid w:val="00F1720D"/>
    <w:rsid w:val="00F17255"/>
    <w:rsid w:val="00F17837"/>
    <w:rsid w:val="00F17F89"/>
    <w:rsid w:val="00F2007F"/>
    <w:rsid w:val="00F201A9"/>
    <w:rsid w:val="00F2024F"/>
    <w:rsid w:val="00F203B4"/>
    <w:rsid w:val="00F20788"/>
    <w:rsid w:val="00F20EA2"/>
    <w:rsid w:val="00F20F62"/>
    <w:rsid w:val="00F210ED"/>
    <w:rsid w:val="00F214F0"/>
    <w:rsid w:val="00F21B72"/>
    <w:rsid w:val="00F222D0"/>
    <w:rsid w:val="00F22566"/>
    <w:rsid w:val="00F22701"/>
    <w:rsid w:val="00F22820"/>
    <w:rsid w:val="00F22950"/>
    <w:rsid w:val="00F2320D"/>
    <w:rsid w:val="00F2379E"/>
    <w:rsid w:val="00F237B0"/>
    <w:rsid w:val="00F2391A"/>
    <w:rsid w:val="00F23C41"/>
    <w:rsid w:val="00F23CCA"/>
    <w:rsid w:val="00F24202"/>
    <w:rsid w:val="00F247BF"/>
    <w:rsid w:val="00F25605"/>
    <w:rsid w:val="00F25895"/>
    <w:rsid w:val="00F2634B"/>
    <w:rsid w:val="00F2649F"/>
    <w:rsid w:val="00F26557"/>
    <w:rsid w:val="00F266B2"/>
    <w:rsid w:val="00F27235"/>
    <w:rsid w:val="00F273B2"/>
    <w:rsid w:val="00F27A98"/>
    <w:rsid w:val="00F27EC4"/>
    <w:rsid w:val="00F30B6E"/>
    <w:rsid w:val="00F30F30"/>
    <w:rsid w:val="00F31282"/>
    <w:rsid w:val="00F3145A"/>
    <w:rsid w:val="00F315C5"/>
    <w:rsid w:val="00F31BE4"/>
    <w:rsid w:val="00F31E4B"/>
    <w:rsid w:val="00F31F11"/>
    <w:rsid w:val="00F31F3F"/>
    <w:rsid w:val="00F32161"/>
    <w:rsid w:val="00F321EE"/>
    <w:rsid w:val="00F32517"/>
    <w:rsid w:val="00F32FB9"/>
    <w:rsid w:val="00F32FD7"/>
    <w:rsid w:val="00F3300E"/>
    <w:rsid w:val="00F3393F"/>
    <w:rsid w:val="00F33D03"/>
    <w:rsid w:val="00F346E5"/>
    <w:rsid w:val="00F34942"/>
    <w:rsid w:val="00F34966"/>
    <w:rsid w:val="00F34D5D"/>
    <w:rsid w:val="00F34FA8"/>
    <w:rsid w:val="00F35054"/>
    <w:rsid w:val="00F357E3"/>
    <w:rsid w:val="00F35874"/>
    <w:rsid w:val="00F35BD9"/>
    <w:rsid w:val="00F35D61"/>
    <w:rsid w:val="00F35E5F"/>
    <w:rsid w:val="00F3624B"/>
    <w:rsid w:val="00F3650B"/>
    <w:rsid w:val="00F371FB"/>
    <w:rsid w:val="00F3767E"/>
    <w:rsid w:val="00F37B8C"/>
    <w:rsid w:val="00F37FE2"/>
    <w:rsid w:val="00F40068"/>
    <w:rsid w:val="00F40A32"/>
    <w:rsid w:val="00F40D0C"/>
    <w:rsid w:val="00F40DEA"/>
    <w:rsid w:val="00F40E1A"/>
    <w:rsid w:val="00F415B0"/>
    <w:rsid w:val="00F415CB"/>
    <w:rsid w:val="00F419D8"/>
    <w:rsid w:val="00F41AE6"/>
    <w:rsid w:val="00F41E16"/>
    <w:rsid w:val="00F42312"/>
    <w:rsid w:val="00F429C1"/>
    <w:rsid w:val="00F435B8"/>
    <w:rsid w:val="00F43702"/>
    <w:rsid w:val="00F43BDC"/>
    <w:rsid w:val="00F43E20"/>
    <w:rsid w:val="00F43F15"/>
    <w:rsid w:val="00F43F8C"/>
    <w:rsid w:val="00F43F95"/>
    <w:rsid w:val="00F44B12"/>
    <w:rsid w:val="00F45114"/>
    <w:rsid w:val="00F451A8"/>
    <w:rsid w:val="00F45288"/>
    <w:rsid w:val="00F456E5"/>
    <w:rsid w:val="00F46104"/>
    <w:rsid w:val="00F4634B"/>
    <w:rsid w:val="00F463A8"/>
    <w:rsid w:val="00F46477"/>
    <w:rsid w:val="00F4658F"/>
    <w:rsid w:val="00F46A62"/>
    <w:rsid w:val="00F46B41"/>
    <w:rsid w:val="00F46B99"/>
    <w:rsid w:val="00F47C2E"/>
    <w:rsid w:val="00F501EA"/>
    <w:rsid w:val="00F50574"/>
    <w:rsid w:val="00F50A82"/>
    <w:rsid w:val="00F50DD7"/>
    <w:rsid w:val="00F510A3"/>
    <w:rsid w:val="00F51395"/>
    <w:rsid w:val="00F51534"/>
    <w:rsid w:val="00F51791"/>
    <w:rsid w:val="00F518F4"/>
    <w:rsid w:val="00F51D2B"/>
    <w:rsid w:val="00F52171"/>
    <w:rsid w:val="00F52531"/>
    <w:rsid w:val="00F525F0"/>
    <w:rsid w:val="00F52865"/>
    <w:rsid w:val="00F53689"/>
    <w:rsid w:val="00F53BE7"/>
    <w:rsid w:val="00F53DED"/>
    <w:rsid w:val="00F5426A"/>
    <w:rsid w:val="00F548E6"/>
    <w:rsid w:val="00F54D95"/>
    <w:rsid w:val="00F54E5C"/>
    <w:rsid w:val="00F55086"/>
    <w:rsid w:val="00F550A1"/>
    <w:rsid w:val="00F557AE"/>
    <w:rsid w:val="00F558E0"/>
    <w:rsid w:val="00F55954"/>
    <w:rsid w:val="00F55EE6"/>
    <w:rsid w:val="00F55F18"/>
    <w:rsid w:val="00F55F49"/>
    <w:rsid w:val="00F5640A"/>
    <w:rsid w:val="00F56A51"/>
    <w:rsid w:val="00F572D7"/>
    <w:rsid w:val="00F575E2"/>
    <w:rsid w:val="00F60244"/>
    <w:rsid w:val="00F619E6"/>
    <w:rsid w:val="00F61C66"/>
    <w:rsid w:val="00F61D09"/>
    <w:rsid w:val="00F61FA1"/>
    <w:rsid w:val="00F61FEE"/>
    <w:rsid w:val="00F62033"/>
    <w:rsid w:val="00F622EA"/>
    <w:rsid w:val="00F6249E"/>
    <w:rsid w:val="00F62831"/>
    <w:rsid w:val="00F629B2"/>
    <w:rsid w:val="00F62FA3"/>
    <w:rsid w:val="00F6401B"/>
    <w:rsid w:val="00F64B78"/>
    <w:rsid w:val="00F659E9"/>
    <w:rsid w:val="00F65DBE"/>
    <w:rsid w:val="00F65F5B"/>
    <w:rsid w:val="00F66088"/>
    <w:rsid w:val="00F66177"/>
    <w:rsid w:val="00F6637A"/>
    <w:rsid w:val="00F668FB"/>
    <w:rsid w:val="00F66BCA"/>
    <w:rsid w:val="00F66E19"/>
    <w:rsid w:val="00F67CBA"/>
    <w:rsid w:val="00F67E2B"/>
    <w:rsid w:val="00F67F3D"/>
    <w:rsid w:val="00F67F9B"/>
    <w:rsid w:val="00F705AD"/>
    <w:rsid w:val="00F710FD"/>
    <w:rsid w:val="00F71523"/>
    <w:rsid w:val="00F71A28"/>
    <w:rsid w:val="00F723B1"/>
    <w:rsid w:val="00F72851"/>
    <w:rsid w:val="00F7285C"/>
    <w:rsid w:val="00F728D2"/>
    <w:rsid w:val="00F72F34"/>
    <w:rsid w:val="00F72F4A"/>
    <w:rsid w:val="00F7332F"/>
    <w:rsid w:val="00F7357E"/>
    <w:rsid w:val="00F736D4"/>
    <w:rsid w:val="00F738C2"/>
    <w:rsid w:val="00F74218"/>
    <w:rsid w:val="00F7465F"/>
    <w:rsid w:val="00F74F80"/>
    <w:rsid w:val="00F75011"/>
    <w:rsid w:val="00F7524A"/>
    <w:rsid w:val="00F752E4"/>
    <w:rsid w:val="00F75392"/>
    <w:rsid w:val="00F75D3D"/>
    <w:rsid w:val="00F75F7F"/>
    <w:rsid w:val="00F769A4"/>
    <w:rsid w:val="00F771B6"/>
    <w:rsid w:val="00F77910"/>
    <w:rsid w:val="00F77D6F"/>
    <w:rsid w:val="00F80570"/>
    <w:rsid w:val="00F80731"/>
    <w:rsid w:val="00F80DBB"/>
    <w:rsid w:val="00F813B8"/>
    <w:rsid w:val="00F81454"/>
    <w:rsid w:val="00F81865"/>
    <w:rsid w:val="00F81B5C"/>
    <w:rsid w:val="00F82190"/>
    <w:rsid w:val="00F821BE"/>
    <w:rsid w:val="00F8233A"/>
    <w:rsid w:val="00F8248D"/>
    <w:rsid w:val="00F82625"/>
    <w:rsid w:val="00F826BC"/>
    <w:rsid w:val="00F82951"/>
    <w:rsid w:val="00F82F5B"/>
    <w:rsid w:val="00F82F6A"/>
    <w:rsid w:val="00F837A6"/>
    <w:rsid w:val="00F83AA5"/>
    <w:rsid w:val="00F83B63"/>
    <w:rsid w:val="00F83DD4"/>
    <w:rsid w:val="00F85936"/>
    <w:rsid w:val="00F85E07"/>
    <w:rsid w:val="00F8668C"/>
    <w:rsid w:val="00F869AF"/>
    <w:rsid w:val="00F87363"/>
    <w:rsid w:val="00F87DA0"/>
    <w:rsid w:val="00F9007D"/>
    <w:rsid w:val="00F90810"/>
    <w:rsid w:val="00F9096D"/>
    <w:rsid w:val="00F912DF"/>
    <w:rsid w:val="00F91380"/>
    <w:rsid w:val="00F914D9"/>
    <w:rsid w:val="00F918AE"/>
    <w:rsid w:val="00F91E4D"/>
    <w:rsid w:val="00F91F9C"/>
    <w:rsid w:val="00F91FFB"/>
    <w:rsid w:val="00F92057"/>
    <w:rsid w:val="00F92072"/>
    <w:rsid w:val="00F92EE1"/>
    <w:rsid w:val="00F930C9"/>
    <w:rsid w:val="00F94A54"/>
    <w:rsid w:val="00F94B15"/>
    <w:rsid w:val="00F94DC2"/>
    <w:rsid w:val="00F94F4D"/>
    <w:rsid w:val="00F9582B"/>
    <w:rsid w:val="00F959F7"/>
    <w:rsid w:val="00F96527"/>
    <w:rsid w:val="00F96810"/>
    <w:rsid w:val="00F96897"/>
    <w:rsid w:val="00F96DF8"/>
    <w:rsid w:val="00F96E65"/>
    <w:rsid w:val="00F97350"/>
    <w:rsid w:val="00F9771C"/>
    <w:rsid w:val="00F97A33"/>
    <w:rsid w:val="00F97C58"/>
    <w:rsid w:val="00F97F14"/>
    <w:rsid w:val="00FA023E"/>
    <w:rsid w:val="00FA08CC"/>
    <w:rsid w:val="00FA11B2"/>
    <w:rsid w:val="00FA153E"/>
    <w:rsid w:val="00FA156F"/>
    <w:rsid w:val="00FA2036"/>
    <w:rsid w:val="00FA20A5"/>
    <w:rsid w:val="00FA2968"/>
    <w:rsid w:val="00FA2B63"/>
    <w:rsid w:val="00FA322E"/>
    <w:rsid w:val="00FA3B27"/>
    <w:rsid w:val="00FA45E7"/>
    <w:rsid w:val="00FA4775"/>
    <w:rsid w:val="00FA4B4A"/>
    <w:rsid w:val="00FA4E38"/>
    <w:rsid w:val="00FA5066"/>
    <w:rsid w:val="00FA57ED"/>
    <w:rsid w:val="00FA58AB"/>
    <w:rsid w:val="00FA6024"/>
    <w:rsid w:val="00FA67D2"/>
    <w:rsid w:val="00FA69AC"/>
    <w:rsid w:val="00FA6AF5"/>
    <w:rsid w:val="00FA6C93"/>
    <w:rsid w:val="00FA7463"/>
    <w:rsid w:val="00FA7663"/>
    <w:rsid w:val="00FA7F16"/>
    <w:rsid w:val="00FA7FF1"/>
    <w:rsid w:val="00FB0325"/>
    <w:rsid w:val="00FB0877"/>
    <w:rsid w:val="00FB094A"/>
    <w:rsid w:val="00FB0DF2"/>
    <w:rsid w:val="00FB0EB8"/>
    <w:rsid w:val="00FB1A4A"/>
    <w:rsid w:val="00FB1D6D"/>
    <w:rsid w:val="00FB21C7"/>
    <w:rsid w:val="00FB2204"/>
    <w:rsid w:val="00FB22DA"/>
    <w:rsid w:val="00FB26B7"/>
    <w:rsid w:val="00FB288C"/>
    <w:rsid w:val="00FB2A32"/>
    <w:rsid w:val="00FB2E8B"/>
    <w:rsid w:val="00FB3053"/>
    <w:rsid w:val="00FB32C7"/>
    <w:rsid w:val="00FB33F6"/>
    <w:rsid w:val="00FB37DB"/>
    <w:rsid w:val="00FB3819"/>
    <w:rsid w:val="00FB38BC"/>
    <w:rsid w:val="00FB3AB0"/>
    <w:rsid w:val="00FB3C13"/>
    <w:rsid w:val="00FB3DD7"/>
    <w:rsid w:val="00FB401A"/>
    <w:rsid w:val="00FB41DF"/>
    <w:rsid w:val="00FB47B3"/>
    <w:rsid w:val="00FB51DD"/>
    <w:rsid w:val="00FB545C"/>
    <w:rsid w:val="00FB598A"/>
    <w:rsid w:val="00FB5C2A"/>
    <w:rsid w:val="00FB5CE5"/>
    <w:rsid w:val="00FB5EDC"/>
    <w:rsid w:val="00FB61D1"/>
    <w:rsid w:val="00FB62AA"/>
    <w:rsid w:val="00FB6C6F"/>
    <w:rsid w:val="00FB6E31"/>
    <w:rsid w:val="00FB6F61"/>
    <w:rsid w:val="00FB7252"/>
    <w:rsid w:val="00FB73FF"/>
    <w:rsid w:val="00FB7CFB"/>
    <w:rsid w:val="00FB7DD0"/>
    <w:rsid w:val="00FC00A1"/>
    <w:rsid w:val="00FC0262"/>
    <w:rsid w:val="00FC05FD"/>
    <w:rsid w:val="00FC0BD2"/>
    <w:rsid w:val="00FC12AA"/>
    <w:rsid w:val="00FC1334"/>
    <w:rsid w:val="00FC17D4"/>
    <w:rsid w:val="00FC1B8C"/>
    <w:rsid w:val="00FC1E89"/>
    <w:rsid w:val="00FC32D7"/>
    <w:rsid w:val="00FC350E"/>
    <w:rsid w:val="00FC4258"/>
    <w:rsid w:val="00FC4588"/>
    <w:rsid w:val="00FC4A63"/>
    <w:rsid w:val="00FC4A86"/>
    <w:rsid w:val="00FC4B10"/>
    <w:rsid w:val="00FC4C62"/>
    <w:rsid w:val="00FC4C7B"/>
    <w:rsid w:val="00FC4F28"/>
    <w:rsid w:val="00FC4FB6"/>
    <w:rsid w:val="00FC51BB"/>
    <w:rsid w:val="00FC51F6"/>
    <w:rsid w:val="00FC53D1"/>
    <w:rsid w:val="00FC579A"/>
    <w:rsid w:val="00FC57E1"/>
    <w:rsid w:val="00FC5B6A"/>
    <w:rsid w:val="00FC5F0D"/>
    <w:rsid w:val="00FC621A"/>
    <w:rsid w:val="00FC62E1"/>
    <w:rsid w:val="00FC66F4"/>
    <w:rsid w:val="00FC6C72"/>
    <w:rsid w:val="00FC6FCB"/>
    <w:rsid w:val="00FC78E9"/>
    <w:rsid w:val="00FC7998"/>
    <w:rsid w:val="00FC7DB6"/>
    <w:rsid w:val="00FC7ED3"/>
    <w:rsid w:val="00FC7FC9"/>
    <w:rsid w:val="00FC7FF8"/>
    <w:rsid w:val="00FD0036"/>
    <w:rsid w:val="00FD02F1"/>
    <w:rsid w:val="00FD03A0"/>
    <w:rsid w:val="00FD08EB"/>
    <w:rsid w:val="00FD0976"/>
    <w:rsid w:val="00FD0CA1"/>
    <w:rsid w:val="00FD0E99"/>
    <w:rsid w:val="00FD0F58"/>
    <w:rsid w:val="00FD1074"/>
    <w:rsid w:val="00FD1338"/>
    <w:rsid w:val="00FD1552"/>
    <w:rsid w:val="00FD15D3"/>
    <w:rsid w:val="00FD1B4A"/>
    <w:rsid w:val="00FD2BF6"/>
    <w:rsid w:val="00FD3167"/>
    <w:rsid w:val="00FD36D3"/>
    <w:rsid w:val="00FD47B1"/>
    <w:rsid w:val="00FD4AEE"/>
    <w:rsid w:val="00FD5111"/>
    <w:rsid w:val="00FD55E8"/>
    <w:rsid w:val="00FD5CDC"/>
    <w:rsid w:val="00FD5E44"/>
    <w:rsid w:val="00FD6A88"/>
    <w:rsid w:val="00FD6AC3"/>
    <w:rsid w:val="00FD6E87"/>
    <w:rsid w:val="00FD6FFD"/>
    <w:rsid w:val="00FD7357"/>
    <w:rsid w:val="00FD74DE"/>
    <w:rsid w:val="00FD7772"/>
    <w:rsid w:val="00FD7CBB"/>
    <w:rsid w:val="00FE0467"/>
    <w:rsid w:val="00FE06A7"/>
    <w:rsid w:val="00FE0A56"/>
    <w:rsid w:val="00FE0D36"/>
    <w:rsid w:val="00FE11DC"/>
    <w:rsid w:val="00FE159D"/>
    <w:rsid w:val="00FE1854"/>
    <w:rsid w:val="00FE1C48"/>
    <w:rsid w:val="00FE1F3A"/>
    <w:rsid w:val="00FE20B7"/>
    <w:rsid w:val="00FE2187"/>
    <w:rsid w:val="00FE289D"/>
    <w:rsid w:val="00FE3001"/>
    <w:rsid w:val="00FE30E3"/>
    <w:rsid w:val="00FE32C6"/>
    <w:rsid w:val="00FE335C"/>
    <w:rsid w:val="00FE3632"/>
    <w:rsid w:val="00FE3ADA"/>
    <w:rsid w:val="00FE3AE7"/>
    <w:rsid w:val="00FE3C76"/>
    <w:rsid w:val="00FE3D85"/>
    <w:rsid w:val="00FE3E99"/>
    <w:rsid w:val="00FE4269"/>
    <w:rsid w:val="00FE4C24"/>
    <w:rsid w:val="00FE4C36"/>
    <w:rsid w:val="00FE57F7"/>
    <w:rsid w:val="00FE59C2"/>
    <w:rsid w:val="00FE5B19"/>
    <w:rsid w:val="00FE5B93"/>
    <w:rsid w:val="00FE5D82"/>
    <w:rsid w:val="00FE6526"/>
    <w:rsid w:val="00FE69C8"/>
    <w:rsid w:val="00FE6A2D"/>
    <w:rsid w:val="00FE6C97"/>
    <w:rsid w:val="00FE6FA1"/>
    <w:rsid w:val="00FE746E"/>
    <w:rsid w:val="00FE789F"/>
    <w:rsid w:val="00FE7F76"/>
    <w:rsid w:val="00FF082D"/>
    <w:rsid w:val="00FF0857"/>
    <w:rsid w:val="00FF11C8"/>
    <w:rsid w:val="00FF155C"/>
    <w:rsid w:val="00FF1784"/>
    <w:rsid w:val="00FF17FD"/>
    <w:rsid w:val="00FF1911"/>
    <w:rsid w:val="00FF23EC"/>
    <w:rsid w:val="00FF2AD6"/>
    <w:rsid w:val="00FF2D98"/>
    <w:rsid w:val="00FF3105"/>
    <w:rsid w:val="00FF3470"/>
    <w:rsid w:val="00FF3795"/>
    <w:rsid w:val="00FF3AAF"/>
    <w:rsid w:val="00FF3EEE"/>
    <w:rsid w:val="00FF3F23"/>
    <w:rsid w:val="00FF47D7"/>
    <w:rsid w:val="00FF527B"/>
    <w:rsid w:val="00FF545E"/>
    <w:rsid w:val="00FF58CE"/>
    <w:rsid w:val="00FF5A59"/>
    <w:rsid w:val="00FF5E47"/>
    <w:rsid w:val="00FF6006"/>
    <w:rsid w:val="00FF653B"/>
    <w:rsid w:val="00FF726F"/>
    <w:rsid w:val="00FF74E0"/>
    <w:rsid w:val="00FF778A"/>
    <w:rsid w:val="00FF7833"/>
    <w:rsid w:val="00FF7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F281D"/>
  <w14:defaultImageDpi w14:val="32767"/>
  <w15:chartTrackingRefBased/>
  <w15:docId w15:val="{6DB3BEE0-5577-4F45-A843-04BE88A7E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50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7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005E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005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5E5"/>
    <w:rPr>
      <w:rFonts w:ascii="Segoe UI" w:eastAsia="Times New Roman" w:hAnsi="Segoe UI" w:cs="Segoe UI"/>
      <w:sz w:val="18"/>
      <w:szCs w:val="18"/>
    </w:rPr>
  </w:style>
  <w:style w:type="character" w:styleId="Hyperlink">
    <w:name w:val="Hyperlink"/>
    <w:basedOn w:val="DefaultParagraphFont"/>
    <w:uiPriority w:val="99"/>
    <w:unhideWhenUsed/>
    <w:rsid w:val="00063BFF"/>
    <w:rPr>
      <w:color w:val="0563C1" w:themeColor="hyperlink"/>
      <w:u w:val="single"/>
    </w:rPr>
  </w:style>
  <w:style w:type="paragraph" w:styleId="Header">
    <w:name w:val="header"/>
    <w:basedOn w:val="Normal"/>
    <w:link w:val="HeaderChar"/>
    <w:uiPriority w:val="99"/>
    <w:unhideWhenUsed/>
    <w:rsid w:val="000D5F6C"/>
    <w:pPr>
      <w:tabs>
        <w:tab w:val="center" w:pos="4680"/>
        <w:tab w:val="right" w:pos="9360"/>
      </w:tabs>
    </w:pPr>
  </w:style>
  <w:style w:type="character" w:customStyle="1" w:styleId="HeaderChar">
    <w:name w:val="Header Char"/>
    <w:basedOn w:val="DefaultParagraphFont"/>
    <w:link w:val="Header"/>
    <w:uiPriority w:val="99"/>
    <w:rsid w:val="000D5F6C"/>
    <w:rPr>
      <w:rFonts w:ascii="Times New Roman" w:eastAsia="Times New Roman" w:hAnsi="Times New Roman" w:cs="Times New Roman"/>
    </w:rPr>
  </w:style>
  <w:style w:type="paragraph" w:styleId="Footer">
    <w:name w:val="footer"/>
    <w:basedOn w:val="Normal"/>
    <w:link w:val="FooterChar"/>
    <w:uiPriority w:val="99"/>
    <w:unhideWhenUsed/>
    <w:rsid w:val="000D5F6C"/>
    <w:pPr>
      <w:tabs>
        <w:tab w:val="center" w:pos="4680"/>
        <w:tab w:val="right" w:pos="9360"/>
      </w:tabs>
    </w:pPr>
  </w:style>
  <w:style w:type="character" w:customStyle="1" w:styleId="FooterChar">
    <w:name w:val="Footer Char"/>
    <w:basedOn w:val="DefaultParagraphFont"/>
    <w:link w:val="Footer"/>
    <w:uiPriority w:val="99"/>
    <w:rsid w:val="000D5F6C"/>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B0FA0"/>
    <w:rPr>
      <w:sz w:val="16"/>
      <w:szCs w:val="16"/>
    </w:rPr>
  </w:style>
  <w:style w:type="paragraph" w:styleId="CommentText">
    <w:name w:val="annotation text"/>
    <w:basedOn w:val="Normal"/>
    <w:link w:val="CommentTextChar"/>
    <w:uiPriority w:val="99"/>
    <w:unhideWhenUsed/>
    <w:rsid w:val="007B0FA0"/>
    <w:rPr>
      <w:sz w:val="20"/>
      <w:szCs w:val="20"/>
    </w:rPr>
  </w:style>
  <w:style w:type="character" w:customStyle="1" w:styleId="CommentTextChar">
    <w:name w:val="Comment Text Char"/>
    <w:basedOn w:val="DefaultParagraphFont"/>
    <w:link w:val="CommentText"/>
    <w:uiPriority w:val="99"/>
    <w:rsid w:val="007B0FA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A3689"/>
    <w:rPr>
      <w:b/>
      <w:bCs/>
    </w:rPr>
  </w:style>
  <w:style w:type="character" w:customStyle="1" w:styleId="CommentSubjectChar">
    <w:name w:val="Comment Subject Char"/>
    <w:basedOn w:val="CommentTextChar"/>
    <w:link w:val="CommentSubject"/>
    <w:uiPriority w:val="99"/>
    <w:semiHidden/>
    <w:rsid w:val="009A3689"/>
    <w:rPr>
      <w:rFonts w:ascii="Times New Roman" w:eastAsia="Times New Roman" w:hAnsi="Times New Roman" w:cs="Times New Roman"/>
      <w:b/>
      <w:bCs/>
      <w:sz w:val="20"/>
      <w:szCs w:val="20"/>
    </w:rPr>
  </w:style>
  <w:style w:type="paragraph" w:styleId="ListParagraph">
    <w:name w:val="List Paragraph"/>
    <w:basedOn w:val="Normal"/>
    <w:uiPriority w:val="34"/>
    <w:qFormat/>
    <w:rsid w:val="00750C78"/>
    <w:pPr>
      <w:ind w:left="720"/>
      <w:contextualSpacing/>
    </w:pPr>
  </w:style>
  <w:style w:type="character" w:customStyle="1" w:styleId="UnresolvedMention1">
    <w:name w:val="Unresolved Mention1"/>
    <w:basedOn w:val="DefaultParagraphFont"/>
    <w:uiPriority w:val="99"/>
    <w:rsid w:val="00BA6845"/>
    <w:rPr>
      <w:color w:val="605E5C"/>
      <w:shd w:val="clear" w:color="auto" w:fill="E1DFDD"/>
    </w:rPr>
  </w:style>
  <w:style w:type="paragraph" w:styleId="NormalWeb">
    <w:name w:val="Normal (Web)"/>
    <w:basedOn w:val="Normal"/>
    <w:uiPriority w:val="99"/>
    <w:semiHidden/>
    <w:unhideWhenUsed/>
    <w:rsid w:val="00AD47F7"/>
    <w:pPr>
      <w:spacing w:before="100" w:beforeAutospacing="1" w:after="100" w:afterAutospacing="1"/>
    </w:pPr>
  </w:style>
  <w:style w:type="character" w:customStyle="1" w:styleId="UnresolvedMention2">
    <w:name w:val="Unresolved Mention2"/>
    <w:basedOn w:val="DefaultParagraphFont"/>
    <w:uiPriority w:val="99"/>
    <w:semiHidden/>
    <w:unhideWhenUsed/>
    <w:rsid w:val="00EC4A3A"/>
    <w:rPr>
      <w:color w:val="605E5C"/>
      <w:shd w:val="clear" w:color="auto" w:fill="E1DFDD"/>
    </w:rPr>
  </w:style>
  <w:style w:type="character" w:styleId="FollowedHyperlink">
    <w:name w:val="FollowedHyperlink"/>
    <w:basedOn w:val="DefaultParagraphFont"/>
    <w:uiPriority w:val="99"/>
    <w:semiHidden/>
    <w:unhideWhenUsed/>
    <w:rsid w:val="00EC4A3A"/>
    <w:rPr>
      <w:color w:val="954F72" w:themeColor="followedHyperlink"/>
      <w:u w:val="single"/>
    </w:rPr>
  </w:style>
  <w:style w:type="character" w:customStyle="1" w:styleId="UnresolvedMention3">
    <w:name w:val="Unresolved Mention3"/>
    <w:basedOn w:val="DefaultParagraphFont"/>
    <w:uiPriority w:val="99"/>
    <w:semiHidden/>
    <w:unhideWhenUsed/>
    <w:rsid w:val="008376EF"/>
    <w:rPr>
      <w:color w:val="605E5C"/>
      <w:shd w:val="clear" w:color="auto" w:fill="E1DFDD"/>
    </w:rPr>
  </w:style>
  <w:style w:type="character" w:styleId="Strong">
    <w:name w:val="Strong"/>
    <w:basedOn w:val="DefaultParagraphFont"/>
    <w:uiPriority w:val="22"/>
    <w:qFormat/>
    <w:rsid w:val="00A9678D"/>
    <w:rPr>
      <w:b/>
      <w:bCs/>
    </w:rPr>
  </w:style>
  <w:style w:type="character" w:styleId="UnresolvedMention">
    <w:name w:val="Unresolved Mention"/>
    <w:basedOn w:val="DefaultParagraphFont"/>
    <w:uiPriority w:val="99"/>
    <w:semiHidden/>
    <w:unhideWhenUsed/>
    <w:rsid w:val="00D36B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6349">
      <w:bodyDiv w:val="1"/>
      <w:marLeft w:val="0"/>
      <w:marRight w:val="0"/>
      <w:marTop w:val="0"/>
      <w:marBottom w:val="0"/>
      <w:divBdr>
        <w:top w:val="none" w:sz="0" w:space="0" w:color="auto"/>
        <w:left w:val="none" w:sz="0" w:space="0" w:color="auto"/>
        <w:bottom w:val="none" w:sz="0" w:space="0" w:color="auto"/>
        <w:right w:val="none" w:sz="0" w:space="0" w:color="auto"/>
      </w:divBdr>
    </w:div>
    <w:div w:id="36509586">
      <w:bodyDiv w:val="1"/>
      <w:marLeft w:val="0"/>
      <w:marRight w:val="0"/>
      <w:marTop w:val="0"/>
      <w:marBottom w:val="0"/>
      <w:divBdr>
        <w:top w:val="none" w:sz="0" w:space="0" w:color="auto"/>
        <w:left w:val="none" w:sz="0" w:space="0" w:color="auto"/>
        <w:bottom w:val="none" w:sz="0" w:space="0" w:color="auto"/>
        <w:right w:val="none" w:sz="0" w:space="0" w:color="auto"/>
      </w:divBdr>
    </w:div>
    <w:div w:id="41712820">
      <w:bodyDiv w:val="1"/>
      <w:marLeft w:val="0"/>
      <w:marRight w:val="0"/>
      <w:marTop w:val="0"/>
      <w:marBottom w:val="0"/>
      <w:divBdr>
        <w:top w:val="none" w:sz="0" w:space="0" w:color="auto"/>
        <w:left w:val="none" w:sz="0" w:space="0" w:color="auto"/>
        <w:bottom w:val="none" w:sz="0" w:space="0" w:color="auto"/>
        <w:right w:val="none" w:sz="0" w:space="0" w:color="auto"/>
      </w:divBdr>
    </w:div>
    <w:div w:id="91249250">
      <w:bodyDiv w:val="1"/>
      <w:marLeft w:val="0"/>
      <w:marRight w:val="0"/>
      <w:marTop w:val="0"/>
      <w:marBottom w:val="0"/>
      <w:divBdr>
        <w:top w:val="none" w:sz="0" w:space="0" w:color="auto"/>
        <w:left w:val="none" w:sz="0" w:space="0" w:color="auto"/>
        <w:bottom w:val="none" w:sz="0" w:space="0" w:color="auto"/>
        <w:right w:val="none" w:sz="0" w:space="0" w:color="auto"/>
      </w:divBdr>
    </w:div>
    <w:div w:id="183861060">
      <w:bodyDiv w:val="1"/>
      <w:marLeft w:val="0"/>
      <w:marRight w:val="0"/>
      <w:marTop w:val="0"/>
      <w:marBottom w:val="0"/>
      <w:divBdr>
        <w:top w:val="none" w:sz="0" w:space="0" w:color="auto"/>
        <w:left w:val="none" w:sz="0" w:space="0" w:color="auto"/>
        <w:bottom w:val="none" w:sz="0" w:space="0" w:color="auto"/>
        <w:right w:val="none" w:sz="0" w:space="0" w:color="auto"/>
      </w:divBdr>
    </w:div>
    <w:div w:id="202600156">
      <w:bodyDiv w:val="1"/>
      <w:marLeft w:val="0"/>
      <w:marRight w:val="0"/>
      <w:marTop w:val="0"/>
      <w:marBottom w:val="0"/>
      <w:divBdr>
        <w:top w:val="none" w:sz="0" w:space="0" w:color="auto"/>
        <w:left w:val="none" w:sz="0" w:space="0" w:color="auto"/>
        <w:bottom w:val="none" w:sz="0" w:space="0" w:color="auto"/>
        <w:right w:val="none" w:sz="0" w:space="0" w:color="auto"/>
      </w:divBdr>
    </w:div>
    <w:div w:id="248084758">
      <w:bodyDiv w:val="1"/>
      <w:marLeft w:val="0"/>
      <w:marRight w:val="0"/>
      <w:marTop w:val="0"/>
      <w:marBottom w:val="0"/>
      <w:divBdr>
        <w:top w:val="none" w:sz="0" w:space="0" w:color="auto"/>
        <w:left w:val="none" w:sz="0" w:space="0" w:color="auto"/>
        <w:bottom w:val="none" w:sz="0" w:space="0" w:color="auto"/>
        <w:right w:val="none" w:sz="0" w:space="0" w:color="auto"/>
      </w:divBdr>
    </w:div>
    <w:div w:id="321468771">
      <w:bodyDiv w:val="1"/>
      <w:marLeft w:val="0"/>
      <w:marRight w:val="0"/>
      <w:marTop w:val="0"/>
      <w:marBottom w:val="0"/>
      <w:divBdr>
        <w:top w:val="none" w:sz="0" w:space="0" w:color="auto"/>
        <w:left w:val="none" w:sz="0" w:space="0" w:color="auto"/>
        <w:bottom w:val="none" w:sz="0" w:space="0" w:color="auto"/>
        <w:right w:val="none" w:sz="0" w:space="0" w:color="auto"/>
      </w:divBdr>
      <w:divsChild>
        <w:div w:id="2015105953">
          <w:marLeft w:val="274"/>
          <w:marRight w:val="0"/>
          <w:marTop w:val="150"/>
          <w:marBottom w:val="0"/>
          <w:divBdr>
            <w:top w:val="none" w:sz="0" w:space="0" w:color="auto"/>
            <w:left w:val="none" w:sz="0" w:space="0" w:color="auto"/>
            <w:bottom w:val="none" w:sz="0" w:space="0" w:color="auto"/>
            <w:right w:val="none" w:sz="0" w:space="0" w:color="auto"/>
          </w:divBdr>
        </w:div>
      </w:divsChild>
    </w:div>
    <w:div w:id="322585203">
      <w:bodyDiv w:val="1"/>
      <w:marLeft w:val="0"/>
      <w:marRight w:val="0"/>
      <w:marTop w:val="0"/>
      <w:marBottom w:val="0"/>
      <w:divBdr>
        <w:top w:val="none" w:sz="0" w:space="0" w:color="auto"/>
        <w:left w:val="none" w:sz="0" w:space="0" w:color="auto"/>
        <w:bottom w:val="none" w:sz="0" w:space="0" w:color="auto"/>
        <w:right w:val="none" w:sz="0" w:space="0" w:color="auto"/>
      </w:divBdr>
    </w:div>
    <w:div w:id="328335896">
      <w:bodyDiv w:val="1"/>
      <w:marLeft w:val="0"/>
      <w:marRight w:val="0"/>
      <w:marTop w:val="0"/>
      <w:marBottom w:val="0"/>
      <w:divBdr>
        <w:top w:val="none" w:sz="0" w:space="0" w:color="auto"/>
        <w:left w:val="none" w:sz="0" w:space="0" w:color="auto"/>
        <w:bottom w:val="none" w:sz="0" w:space="0" w:color="auto"/>
        <w:right w:val="none" w:sz="0" w:space="0" w:color="auto"/>
      </w:divBdr>
    </w:div>
    <w:div w:id="353461236">
      <w:bodyDiv w:val="1"/>
      <w:marLeft w:val="0"/>
      <w:marRight w:val="0"/>
      <w:marTop w:val="0"/>
      <w:marBottom w:val="0"/>
      <w:divBdr>
        <w:top w:val="none" w:sz="0" w:space="0" w:color="auto"/>
        <w:left w:val="none" w:sz="0" w:space="0" w:color="auto"/>
        <w:bottom w:val="none" w:sz="0" w:space="0" w:color="auto"/>
        <w:right w:val="none" w:sz="0" w:space="0" w:color="auto"/>
      </w:divBdr>
    </w:div>
    <w:div w:id="361788057">
      <w:bodyDiv w:val="1"/>
      <w:marLeft w:val="0"/>
      <w:marRight w:val="0"/>
      <w:marTop w:val="0"/>
      <w:marBottom w:val="0"/>
      <w:divBdr>
        <w:top w:val="none" w:sz="0" w:space="0" w:color="auto"/>
        <w:left w:val="none" w:sz="0" w:space="0" w:color="auto"/>
        <w:bottom w:val="none" w:sz="0" w:space="0" w:color="auto"/>
        <w:right w:val="none" w:sz="0" w:space="0" w:color="auto"/>
      </w:divBdr>
    </w:div>
    <w:div w:id="424231709">
      <w:bodyDiv w:val="1"/>
      <w:marLeft w:val="0"/>
      <w:marRight w:val="0"/>
      <w:marTop w:val="0"/>
      <w:marBottom w:val="0"/>
      <w:divBdr>
        <w:top w:val="none" w:sz="0" w:space="0" w:color="auto"/>
        <w:left w:val="none" w:sz="0" w:space="0" w:color="auto"/>
        <w:bottom w:val="none" w:sz="0" w:space="0" w:color="auto"/>
        <w:right w:val="none" w:sz="0" w:space="0" w:color="auto"/>
      </w:divBdr>
    </w:div>
    <w:div w:id="514656525">
      <w:bodyDiv w:val="1"/>
      <w:marLeft w:val="0"/>
      <w:marRight w:val="0"/>
      <w:marTop w:val="0"/>
      <w:marBottom w:val="0"/>
      <w:divBdr>
        <w:top w:val="none" w:sz="0" w:space="0" w:color="auto"/>
        <w:left w:val="none" w:sz="0" w:space="0" w:color="auto"/>
        <w:bottom w:val="none" w:sz="0" w:space="0" w:color="auto"/>
        <w:right w:val="none" w:sz="0" w:space="0" w:color="auto"/>
      </w:divBdr>
    </w:div>
    <w:div w:id="518202432">
      <w:bodyDiv w:val="1"/>
      <w:marLeft w:val="0"/>
      <w:marRight w:val="0"/>
      <w:marTop w:val="0"/>
      <w:marBottom w:val="0"/>
      <w:divBdr>
        <w:top w:val="none" w:sz="0" w:space="0" w:color="auto"/>
        <w:left w:val="none" w:sz="0" w:space="0" w:color="auto"/>
        <w:bottom w:val="none" w:sz="0" w:space="0" w:color="auto"/>
        <w:right w:val="none" w:sz="0" w:space="0" w:color="auto"/>
      </w:divBdr>
    </w:div>
    <w:div w:id="526875689">
      <w:bodyDiv w:val="1"/>
      <w:marLeft w:val="0"/>
      <w:marRight w:val="0"/>
      <w:marTop w:val="0"/>
      <w:marBottom w:val="0"/>
      <w:divBdr>
        <w:top w:val="none" w:sz="0" w:space="0" w:color="auto"/>
        <w:left w:val="none" w:sz="0" w:space="0" w:color="auto"/>
        <w:bottom w:val="none" w:sz="0" w:space="0" w:color="auto"/>
        <w:right w:val="none" w:sz="0" w:space="0" w:color="auto"/>
      </w:divBdr>
    </w:div>
    <w:div w:id="533882815">
      <w:bodyDiv w:val="1"/>
      <w:marLeft w:val="0"/>
      <w:marRight w:val="0"/>
      <w:marTop w:val="0"/>
      <w:marBottom w:val="0"/>
      <w:divBdr>
        <w:top w:val="none" w:sz="0" w:space="0" w:color="auto"/>
        <w:left w:val="none" w:sz="0" w:space="0" w:color="auto"/>
        <w:bottom w:val="none" w:sz="0" w:space="0" w:color="auto"/>
        <w:right w:val="none" w:sz="0" w:space="0" w:color="auto"/>
      </w:divBdr>
      <w:divsChild>
        <w:div w:id="1117018873">
          <w:marLeft w:val="576"/>
          <w:marRight w:val="0"/>
          <w:marTop w:val="0"/>
          <w:marBottom w:val="0"/>
          <w:divBdr>
            <w:top w:val="none" w:sz="0" w:space="0" w:color="auto"/>
            <w:left w:val="none" w:sz="0" w:space="0" w:color="auto"/>
            <w:bottom w:val="none" w:sz="0" w:space="0" w:color="auto"/>
            <w:right w:val="none" w:sz="0" w:space="0" w:color="auto"/>
          </w:divBdr>
        </w:div>
      </w:divsChild>
    </w:div>
    <w:div w:id="594047712">
      <w:bodyDiv w:val="1"/>
      <w:marLeft w:val="0"/>
      <w:marRight w:val="0"/>
      <w:marTop w:val="0"/>
      <w:marBottom w:val="0"/>
      <w:divBdr>
        <w:top w:val="none" w:sz="0" w:space="0" w:color="auto"/>
        <w:left w:val="none" w:sz="0" w:space="0" w:color="auto"/>
        <w:bottom w:val="none" w:sz="0" w:space="0" w:color="auto"/>
        <w:right w:val="none" w:sz="0" w:space="0" w:color="auto"/>
      </w:divBdr>
    </w:div>
    <w:div w:id="627053864">
      <w:bodyDiv w:val="1"/>
      <w:marLeft w:val="0"/>
      <w:marRight w:val="0"/>
      <w:marTop w:val="0"/>
      <w:marBottom w:val="0"/>
      <w:divBdr>
        <w:top w:val="none" w:sz="0" w:space="0" w:color="auto"/>
        <w:left w:val="none" w:sz="0" w:space="0" w:color="auto"/>
        <w:bottom w:val="none" w:sz="0" w:space="0" w:color="auto"/>
        <w:right w:val="none" w:sz="0" w:space="0" w:color="auto"/>
      </w:divBdr>
    </w:div>
    <w:div w:id="629943035">
      <w:bodyDiv w:val="1"/>
      <w:marLeft w:val="0"/>
      <w:marRight w:val="0"/>
      <w:marTop w:val="0"/>
      <w:marBottom w:val="0"/>
      <w:divBdr>
        <w:top w:val="none" w:sz="0" w:space="0" w:color="auto"/>
        <w:left w:val="none" w:sz="0" w:space="0" w:color="auto"/>
        <w:bottom w:val="none" w:sz="0" w:space="0" w:color="auto"/>
        <w:right w:val="none" w:sz="0" w:space="0" w:color="auto"/>
      </w:divBdr>
    </w:div>
    <w:div w:id="674573548">
      <w:bodyDiv w:val="1"/>
      <w:marLeft w:val="0"/>
      <w:marRight w:val="0"/>
      <w:marTop w:val="0"/>
      <w:marBottom w:val="0"/>
      <w:divBdr>
        <w:top w:val="none" w:sz="0" w:space="0" w:color="auto"/>
        <w:left w:val="none" w:sz="0" w:space="0" w:color="auto"/>
        <w:bottom w:val="none" w:sz="0" w:space="0" w:color="auto"/>
        <w:right w:val="none" w:sz="0" w:space="0" w:color="auto"/>
      </w:divBdr>
    </w:div>
    <w:div w:id="680426047">
      <w:bodyDiv w:val="1"/>
      <w:marLeft w:val="0"/>
      <w:marRight w:val="0"/>
      <w:marTop w:val="0"/>
      <w:marBottom w:val="0"/>
      <w:divBdr>
        <w:top w:val="none" w:sz="0" w:space="0" w:color="auto"/>
        <w:left w:val="none" w:sz="0" w:space="0" w:color="auto"/>
        <w:bottom w:val="none" w:sz="0" w:space="0" w:color="auto"/>
        <w:right w:val="none" w:sz="0" w:space="0" w:color="auto"/>
      </w:divBdr>
    </w:div>
    <w:div w:id="710761423">
      <w:bodyDiv w:val="1"/>
      <w:marLeft w:val="0"/>
      <w:marRight w:val="0"/>
      <w:marTop w:val="0"/>
      <w:marBottom w:val="0"/>
      <w:divBdr>
        <w:top w:val="none" w:sz="0" w:space="0" w:color="auto"/>
        <w:left w:val="none" w:sz="0" w:space="0" w:color="auto"/>
        <w:bottom w:val="none" w:sz="0" w:space="0" w:color="auto"/>
        <w:right w:val="none" w:sz="0" w:space="0" w:color="auto"/>
      </w:divBdr>
    </w:div>
    <w:div w:id="719746846">
      <w:bodyDiv w:val="1"/>
      <w:marLeft w:val="0"/>
      <w:marRight w:val="0"/>
      <w:marTop w:val="0"/>
      <w:marBottom w:val="0"/>
      <w:divBdr>
        <w:top w:val="none" w:sz="0" w:space="0" w:color="auto"/>
        <w:left w:val="none" w:sz="0" w:space="0" w:color="auto"/>
        <w:bottom w:val="none" w:sz="0" w:space="0" w:color="auto"/>
        <w:right w:val="none" w:sz="0" w:space="0" w:color="auto"/>
      </w:divBdr>
    </w:div>
    <w:div w:id="726147039">
      <w:bodyDiv w:val="1"/>
      <w:marLeft w:val="0"/>
      <w:marRight w:val="0"/>
      <w:marTop w:val="0"/>
      <w:marBottom w:val="0"/>
      <w:divBdr>
        <w:top w:val="none" w:sz="0" w:space="0" w:color="auto"/>
        <w:left w:val="none" w:sz="0" w:space="0" w:color="auto"/>
        <w:bottom w:val="none" w:sz="0" w:space="0" w:color="auto"/>
        <w:right w:val="none" w:sz="0" w:space="0" w:color="auto"/>
      </w:divBdr>
    </w:div>
    <w:div w:id="726611045">
      <w:bodyDiv w:val="1"/>
      <w:marLeft w:val="0"/>
      <w:marRight w:val="0"/>
      <w:marTop w:val="0"/>
      <w:marBottom w:val="0"/>
      <w:divBdr>
        <w:top w:val="none" w:sz="0" w:space="0" w:color="auto"/>
        <w:left w:val="none" w:sz="0" w:space="0" w:color="auto"/>
        <w:bottom w:val="none" w:sz="0" w:space="0" w:color="auto"/>
        <w:right w:val="none" w:sz="0" w:space="0" w:color="auto"/>
      </w:divBdr>
    </w:div>
    <w:div w:id="739448312">
      <w:bodyDiv w:val="1"/>
      <w:marLeft w:val="0"/>
      <w:marRight w:val="0"/>
      <w:marTop w:val="0"/>
      <w:marBottom w:val="0"/>
      <w:divBdr>
        <w:top w:val="none" w:sz="0" w:space="0" w:color="auto"/>
        <w:left w:val="none" w:sz="0" w:space="0" w:color="auto"/>
        <w:bottom w:val="none" w:sz="0" w:space="0" w:color="auto"/>
        <w:right w:val="none" w:sz="0" w:space="0" w:color="auto"/>
      </w:divBdr>
    </w:div>
    <w:div w:id="744104617">
      <w:bodyDiv w:val="1"/>
      <w:marLeft w:val="0"/>
      <w:marRight w:val="0"/>
      <w:marTop w:val="0"/>
      <w:marBottom w:val="0"/>
      <w:divBdr>
        <w:top w:val="none" w:sz="0" w:space="0" w:color="auto"/>
        <w:left w:val="none" w:sz="0" w:space="0" w:color="auto"/>
        <w:bottom w:val="none" w:sz="0" w:space="0" w:color="auto"/>
        <w:right w:val="none" w:sz="0" w:space="0" w:color="auto"/>
      </w:divBdr>
    </w:div>
    <w:div w:id="754283298">
      <w:bodyDiv w:val="1"/>
      <w:marLeft w:val="0"/>
      <w:marRight w:val="0"/>
      <w:marTop w:val="0"/>
      <w:marBottom w:val="0"/>
      <w:divBdr>
        <w:top w:val="none" w:sz="0" w:space="0" w:color="auto"/>
        <w:left w:val="none" w:sz="0" w:space="0" w:color="auto"/>
        <w:bottom w:val="none" w:sz="0" w:space="0" w:color="auto"/>
        <w:right w:val="none" w:sz="0" w:space="0" w:color="auto"/>
      </w:divBdr>
      <w:divsChild>
        <w:div w:id="1411777100">
          <w:marLeft w:val="576"/>
          <w:marRight w:val="0"/>
          <w:marTop w:val="0"/>
          <w:marBottom w:val="0"/>
          <w:divBdr>
            <w:top w:val="none" w:sz="0" w:space="0" w:color="auto"/>
            <w:left w:val="none" w:sz="0" w:space="0" w:color="auto"/>
            <w:bottom w:val="none" w:sz="0" w:space="0" w:color="auto"/>
            <w:right w:val="none" w:sz="0" w:space="0" w:color="auto"/>
          </w:divBdr>
        </w:div>
      </w:divsChild>
    </w:div>
    <w:div w:id="804470493">
      <w:bodyDiv w:val="1"/>
      <w:marLeft w:val="0"/>
      <w:marRight w:val="0"/>
      <w:marTop w:val="0"/>
      <w:marBottom w:val="0"/>
      <w:divBdr>
        <w:top w:val="none" w:sz="0" w:space="0" w:color="auto"/>
        <w:left w:val="none" w:sz="0" w:space="0" w:color="auto"/>
        <w:bottom w:val="none" w:sz="0" w:space="0" w:color="auto"/>
        <w:right w:val="none" w:sz="0" w:space="0" w:color="auto"/>
      </w:divBdr>
    </w:div>
    <w:div w:id="824663524">
      <w:bodyDiv w:val="1"/>
      <w:marLeft w:val="0"/>
      <w:marRight w:val="0"/>
      <w:marTop w:val="0"/>
      <w:marBottom w:val="0"/>
      <w:divBdr>
        <w:top w:val="none" w:sz="0" w:space="0" w:color="auto"/>
        <w:left w:val="none" w:sz="0" w:space="0" w:color="auto"/>
        <w:bottom w:val="none" w:sz="0" w:space="0" w:color="auto"/>
        <w:right w:val="none" w:sz="0" w:space="0" w:color="auto"/>
      </w:divBdr>
    </w:div>
    <w:div w:id="947734778">
      <w:bodyDiv w:val="1"/>
      <w:marLeft w:val="0"/>
      <w:marRight w:val="0"/>
      <w:marTop w:val="0"/>
      <w:marBottom w:val="0"/>
      <w:divBdr>
        <w:top w:val="none" w:sz="0" w:space="0" w:color="auto"/>
        <w:left w:val="none" w:sz="0" w:space="0" w:color="auto"/>
        <w:bottom w:val="none" w:sz="0" w:space="0" w:color="auto"/>
        <w:right w:val="none" w:sz="0" w:space="0" w:color="auto"/>
      </w:divBdr>
    </w:div>
    <w:div w:id="975181565">
      <w:bodyDiv w:val="1"/>
      <w:marLeft w:val="0"/>
      <w:marRight w:val="0"/>
      <w:marTop w:val="0"/>
      <w:marBottom w:val="0"/>
      <w:divBdr>
        <w:top w:val="none" w:sz="0" w:space="0" w:color="auto"/>
        <w:left w:val="none" w:sz="0" w:space="0" w:color="auto"/>
        <w:bottom w:val="none" w:sz="0" w:space="0" w:color="auto"/>
        <w:right w:val="none" w:sz="0" w:space="0" w:color="auto"/>
      </w:divBdr>
    </w:div>
    <w:div w:id="998969396">
      <w:bodyDiv w:val="1"/>
      <w:marLeft w:val="0"/>
      <w:marRight w:val="0"/>
      <w:marTop w:val="0"/>
      <w:marBottom w:val="0"/>
      <w:divBdr>
        <w:top w:val="none" w:sz="0" w:space="0" w:color="auto"/>
        <w:left w:val="none" w:sz="0" w:space="0" w:color="auto"/>
        <w:bottom w:val="none" w:sz="0" w:space="0" w:color="auto"/>
        <w:right w:val="none" w:sz="0" w:space="0" w:color="auto"/>
      </w:divBdr>
    </w:div>
    <w:div w:id="1006860173">
      <w:bodyDiv w:val="1"/>
      <w:marLeft w:val="0"/>
      <w:marRight w:val="0"/>
      <w:marTop w:val="0"/>
      <w:marBottom w:val="0"/>
      <w:divBdr>
        <w:top w:val="none" w:sz="0" w:space="0" w:color="auto"/>
        <w:left w:val="none" w:sz="0" w:space="0" w:color="auto"/>
        <w:bottom w:val="none" w:sz="0" w:space="0" w:color="auto"/>
        <w:right w:val="none" w:sz="0" w:space="0" w:color="auto"/>
      </w:divBdr>
    </w:div>
    <w:div w:id="1017124500">
      <w:bodyDiv w:val="1"/>
      <w:marLeft w:val="0"/>
      <w:marRight w:val="0"/>
      <w:marTop w:val="0"/>
      <w:marBottom w:val="0"/>
      <w:divBdr>
        <w:top w:val="none" w:sz="0" w:space="0" w:color="auto"/>
        <w:left w:val="none" w:sz="0" w:space="0" w:color="auto"/>
        <w:bottom w:val="none" w:sz="0" w:space="0" w:color="auto"/>
        <w:right w:val="none" w:sz="0" w:space="0" w:color="auto"/>
      </w:divBdr>
    </w:div>
    <w:div w:id="1050110126">
      <w:bodyDiv w:val="1"/>
      <w:marLeft w:val="0"/>
      <w:marRight w:val="0"/>
      <w:marTop w:val="0"/>
      <w:marBottom w:val="0"/>
      <w:divBdr>
        <w:top w:val="none" w:sz="0" w:space="0" w:color="auto"/>
        <w:left w:val="none" w:sz="0" w:space="0" w:color="auto"/>
        <w:bottom w:val="none" w:sz="0" w:space="0" w:color="auto"/>
        <w:right w:val="none" w:sz="0" w:space="0" w:color="auto"/>
      </w:divBdr>
    </w:div>
    <w:div w:id="1084063219">
      <w:bodyDiv w:val="1"/>
      <w:marLeft w:val="0"/>
      <w:marRight w:val="0"/>
      <w:marTop w:val="0"/>
      <w:marBottom w:val="0"/>
      <w:divBdr>
        <w:top w:val="none" w:sz="0" w:space="0" w:color="auto"/>
        <w:left w:val="none" w:sz="0" w:space="0" w:color="auto"/>
        <w:bottom w:val="none" w:sz="0" w:space="0" w:color="auto"/>
        <w:right w:val="none" w:sz="0" w:space="0" w:color="auto"/>
      </w:divBdr>
    </w:div>
    <w:div w:id="1120953565">
      <w:bodyDiv w:val="1"/>
      <w:marLeft w:val="0"/>
      <w:marRight w:val="0"/>
      <w:marTop w:val="0"/>
      <w:marBottom w:val="0"/>
      <w:divBdr>
        <w:top w:val="none" w:sz="0" w:space="0" w:color="auto"/>
        <w:left w:val="none" w:sz="0" w:space="0" w:color="auto"/>
        <w:bottom w:val="none" w:sz="0" w:space="0" w:color="auto"/>
        <w:right w:val="none" w:sz="0" w:space="0" w:color="auto"/>
      </w:divBdr>
    </w:div>
    <w:div w:id="1133133504">
      <w:bodyDiv w:val="1"/>
      <w:marLeft w:val="0"/>
      <w:marRight w:val="0"/>
      <w:marTop w:val="0"/>
      <w:marBottom w:val="0"/>
      <w:divBdr>
        <w:top w:val="none" w:sz="0" w:space="0" w:color="auto"/>
        <w:left w:val="none" w:sz="0" w:space="0" w:color="auto"/>
        <w:bottom w:val="none" w:sz="0" w:space="0" w:color="auto"/>
        <w:right w:val="none" w:sz="0" w:space="0" w:color="auto"/>
      </w:divBdr>
    </w:div>
    <w:div w:id="1133905139">
      <w:bodyDiv w:val="1"/>
      <w:marLeft w:val="0"/>
      <w:marRight w:val="0"/>
      <w:marTop w:val="0"/>
      <w:marBottom w:val="0"/>
      <w:divBdr>
        <w:top w:val="none" w:sz="0" w:space="0" w:color="auto"/>
        <w:left w:val="none" w:sz="0" w:space="0" w:color="auto"/>
        <w:bottom w:val="none" w:sz="0" w:space="0" w:color="auto"/>
        <w:right w:val="none" w:sz="0" w:space="0" w:color="auto"/>
      </w:divBdr>
    </w:div>
    <w:div w:id="1135835293">
      <w:bodyDiv w:val="1"/>
      <w:marLeft w:val="0"/>
      <w:marRight w:val="0"/>
      <w:marTop w:val="0"/>
      <w:marBottom w:val="0"/>
      <w:divBdr>
        <w:top w:val="none" w:sz="0" w:space="0" w:color="auto"/>
        <w:left w:val="none" w:sz="0" w:space="0" w:color="auto"/>
        <w:bottom w:val="none" w:sz="0" w:space="0" w:color="auto"/>
        <w:right w:val="none" w:sz="0" w:space="0" w:color="auto"/>
      </w:divBdr>
    </w:div>
    <w:div w:id="1151214415">
      <w:bodyDiv w:val="1"/>
      <w:marLeft w:val="0"/>
      <w:marRight w:val="0"/>
      <w:marTop w:val="0"/>
      <w:marBottom w:val="0"/>
      <w:divBdr>
        <w:top w:val="none" w:sz="0" w:space="0" w:color="auto"/>
        <w:left w:val="none" w:sz="0" w:space="0" w:color="auto"/>
        <w:bottom w:val="none" w:sz="0" w:space="0" w:color="auto"/>
        <w:right w:val="none" w:sz="0" w:space="0" w:color="auto"/>
      </w:divBdr>
    </w:div>
    <w:div w:id="1241139603">
      <w:bodyDiv w:val="1"/>
      <w:marLeft w:val="0"/>
      <w:marRight w:val="0"/>
      <w:marTop w:val="0"/>
      <w:marBottom w:val="0"/>
      <w:divBdr>
        <w:top w:val="none" w:sz="0" w:space="0" w:color="auto"/>
        <w:left w:val="none" w:sz="0" w:space="0" w:color="auto"/>
        <w:bottom w:val="none" w:sz="0" w:space="0" w:color="auto"/>
        <w:right w:val="none" w:sz="0" w:space="0" w:color="auto"/>
      </w:divBdr>
    </w:div>
    <w:div w:id="1257247715">
      <w:bodyDiv w:val="1"/>
      <w:marLeft w:val="0"/>
      <w:marRight w:val="0"/>
      <w:marTop w:val="0"/>
      <w:marBottom w:val="0"/>
      <w:divBdr>
        <w:top w:val="none" w:sz="0" w:space="0" w:color="auto"/>
        <w:left w:val="none" w:sz="0" w:space="0" w:color="auto"/>
        <w:bottom w:val="none" w:sz="0" w:space="0" w:color="auto"/>
        <w:right w:val="none" w:sz="0" w:space="0" w:color="auto"/>
      </w:divBdr>
    </w:div>
    <w:div w:id="1286544289">
      <w:bodyDiv w:val="1"/>
      <w:marLeft w:val="0"/>
      <w:marRight w:val="0"/>
      <w:marTop w:val="0"/>
      <w:marBottom w:val="0"/>
      <w:divBdr>
        <w:top w:val="none" w:sz="0" w:space="0" w:color="auto"/>
        <w:left w:val="none" w:sz="0" w:space="0" w:color="auto"/>
        <w:bottom w:val="none" w:sz="0" w:space="0" w:color="auto"/>
        <w:right w:val="none" w:sz="0" w:space="0" w:color="auto"/>
      </w:divBdr>
    </w:div>
    <w:div w:id="1302886635">
      <w:bodyDiv w:val="1"/>
      <w:marLeft w:val="0"/>
      <w:marRight w:val="0"/>
      <w:marTop w:val="0"/>
      <w:marBottom w:val="0"/>
      <w:divBdr>
        <w:top w:val="none" w:sz="0" w:space="0" w:color="auto"/>
        <w:left w:val="none" w:sz="0" w:space="0" w:color="auto"/>
        <w:bottom w:val="none" w:sz="0" w:space="0" w:color="auto"/>
        <w:right w:val="none" w:sz="0" w:space="0" w:color="auto"/>
      </w:divBdr>
    </w:div>
    <w:div w:id="1310549937">
      <w:bodyDiv w:val="1"/>
      <w:marLeft w:val="0"/>
      <w:marRight w:val="0"/>
      <w:marTop w:val="0"/>
      <w:marBottom w:val="0"/>
      <w:divBdr>
        <w:top w:val="none" w:sz="0" w:space="0" w:color="auto"/>
        <w:left w:val="none" w:sz="0" w:space="0" w:color="auto"/>
        <w:bottom w:val="none" w:sz="0" w:space="0" w:color="auto"/>
        <w:right w:val="none" w:sz="0" w:space="0" w:color="auto"/>
      </w:divBdr>
    </w:div>
    <w:div w:id="1380978269">
      <w:bodyDiv w:val="1"/>
      <w:marLeft w:val="0"/>
      <w:marRight w:val="0"/>
      <w:marTop w:val="0"/>
      <w:marBottom w:val="0"/>
      <w:divBdr>
        <w:top w:val="none" w:sz="0" w:space="0" w:color="auto"/>
        <w:left w:val="none" w:sz="0" w:space="0" w:color="auto"/>
        <w:bottom w:val="none" w:sz="0" w:space="0" w:color="auto"/>
        <w:right w:val="none" w:sz="0" w:space="0" w:color="auto"/>
      </w:divBdr>
    </w:div>
    <w:div w:id="1392535983">
      <w:bodyDiv w:val="1"/>
      <w:marLeft w:val="0"/>
      <w:marRight w:val="0"/>
      <w:marTop w:val="0"/>
      <w:marBottom w:val="0"/>
      <w:divBdr>
        <w:top w:val="none" w:sz="0" w:space="0" w:color="auto"/>
        <w:left w:val="none" w:sz="0" w:space="0" w:color="auto"/>
        <w:bottom w:val="none" w:sz="0" w:space="0" w:color="auto"/>
        <w:right w:val="none" w:sz="0" w:space="0" w:color="auto"/>
      </w:divBdr>
    </w:div>
    <w:div w:id="1396584930">
      <w:bodyDiv w:val="1"/>
      <w:marLeft w:val="0"/>
      <w:marRight w:val="0"/>
      <w:marTop w:val="0"/>
      <w:marBottom w:val="0"/>
      <w:divBdr>
        <w:top w:val="none" w:sz="0" w:space="0" w:color="auto"/>
        <w:left w:val="none" w:sz="0" w:space="0" w:color="auto"/>
        <w:bottom w:val="none" w:sz="0" w:space="0" w:color="auto"/>
        <w:right w:val="none" w:sz="0" w:space="0" w:color="auto"/>
      </w:divBdr>
    </w:div>
    <w:div w:id="1406225849">
      <w:bodyDiv w:val="1"/>
      <w:marLeft w:val="0"/>
      <w:marRight w:val="0"/>
      <w:marTop w:val="0"/>
      <w:marBottom w:val="0"/>
      <w:divBdr>
        <w:top w:val="none" w:sz="0" w:space="0" w:color="auto"/>
        <w:left w:val="none" w:sz="0" w:space="0" w:color="auto"/>
        <w:bottom w:val="none" w:sz="0" w:space="0" w:color="auto"/>
        <w:right w:val="none" w:sz="0" w:space="0" w:color="auto"/>
      </w:divBdr>
    </w:div>
    <w:div w:id="1411266538">
      <w:bodyDiv w:val="1"/>
      <w:marLeft w:val="0"/>
      <w:marRight w:val="0"/>
      <w:marTop w:val="0"/>
      <w:marBottom w:val="0"/>
      <w:divBdr>
        <w:top w:val="none" w:sz="0" w:space="0" w:color="auto"/>
        <w:left w:val="none" w:sz="0" w:space="0" w:color="auto"/>
        <w:bottom w:val="none" w:sz="0" w:space="0" w:color="auto"/>
        <w:right w:val="none" w:sz="0" w:space="0" w:color="auto"/>
      </w:divBdr>
    </w:div>
    <w:div w:id="1422722462">
      <w:bodyDiv w:val="1"/>
      <w:marLeft w:val="0"/>
      <w:marRight w:val="0"/>
      <w:marTop w:val="0"/>
      <w:marBottom w:val="0"/>
      <w:divBdr>
        <w:top w:val="none" w:sz="0" w:space="0" w:color="auto"/>
        <w:left w:val="none" w:sz="0" w:space="0" w:color="auto"/>
        <w:bottom w:val="none" w:sz="0" w:space="0" w:color="auto"/>
        <w:right w:val="none" w:sz="0" w:space="0" w:color="auto"/>
      </w:divBdr>
    </w:div>
    <w:div w:id="1444569087">
      <w:bodyDiv w:val="1"/>
      <w:marLeft w:val="0"/>
      <w:marRight w:val="0"/>
      <w:marTop w:val="0"/>
      <w:marBottom w:val="0"/>
      <w:divBdr>
        <w:top w:val="none" w:sz="0" w:space="0" w:color="auto"/>
        <w:left w:val="none" w:sz="0" w:space="0" w:color="auto"/>
        <w:bottom w:val="none" w:sz="0" w:space="0" w:color="auto"/>
        <w:right w:val="none" w:sz="0" w:space="0" w:color="auto"/>
      </w:divBdr>
    </w:div>
    <w:div w:id="1451706356">
      <w:bodyDiv w:val="1"/>
      <w:marLeft w:val="0"/>
      <w:marRight w:val="0"/>
      <w:marTop w:val="0"/>
      <w:marBottom w:val="0"/>
      <w:divBdr>
        <w:top w:val="none" w:sz="0" w:space="0" w:color="auto"/>
        <w:left w:val="none" w:sz="0" w:space="0" w:color="auto"/>
        <w:bottom w:val="none" w:sz="0" w:space="0" w:color="auto"/>
        <w:right w:val="none" w:sz="0" w:space="0" w:color="auto"/>
      </w:divBdr>
    </w:div>
    <w:div w:id="1474981597">
      <w:bodyDiv w:val="1"/>
      <w:marLeft w:val="0"/>
      <w:marRight w:val="0"/>
      <w:marTop w:val="0"/>
      <w:marBottom w:val="0"/>
      <w:divBdr>
        <w:top w:val="none" w:sz="0" w:space="0" w:color="auto"/>
        <w:left w:val="none" w:sz="0" w:space="0" w:color="auto"/>
        <w:bottom w:val="none" w:sz="0" w:space="0" w:color="auto"/>
        <w:right w:val="none" w:sz="0" w:space="0" w:color="auto"/>
      </w:divBdr>
    </w:div>
    <w:div w:id="1477918234">
      <w:bodyDiv w:val="1"/>
      <w:marLeft w:val="0"/>
      <w:marRight w:val="0"/>
      <w:marTop w:val="0"/>
      <w:marBottom w:val="0"/>
      <w:divBdr>
        <w:top w:val="none" w:sz="0" w:space="0" w:color="auto"/>
        <w:left w:val="none" w:sz="0" w:space="0" w:color="auto"/>
        <w:bottom w:val="none" w:sz="0" w:space="0" w:color="auto"/>
        <w:right w:val="none" w:sz="0" w:space="0" w:color="auto"/>
      </w:divBdr>
    </w:div>
    <w:div w:id="1483615275">
      <w:bodyDiv w:val="1"/>
      <w:marLeft w:val="0"/>
      <w:marRight w:val="0"/>
      <w:marTop w:val="0"/>
      <w:marBottom w:val="0"/>
      <w:divBdr>
        <w:top w:val="none" w:sz="0" w:space="0" w:color="auto"/>
        <w:left w:val="none" w:sz="0" w:space="0" w:color="auto"/>
        <w:bottom w:val="none" w:sz="0" w:space="0" w:color="auto"/>
        <w:right w:val="none" w:sz="0" w:space="0" w:color="auto"/>
      </w:divBdr>
      <w:divsChild>
        <w:div w:id="2119986873">
          <w:marLeft w:val="274"/>
          <w:marRight w:val="0"/>
          <w:marTop w:val="150"/>
          <w:marBottom w:val="0"/>
          <w:divBdr>
            <w:top w:val="none" w:sz="0" w:space="0" w:color="auto"/>
            <w:left w:val="none" w:sz="0" w:space="0" w:color="auto"/>
            <w:bottom w:val="none" w:sz="0" w:space="0" w:color="auto"/>
            <w:right w:val="none" w:sz="0" w:space="0" w:color="auto"/>
          </w:divBdr>
        </w:div>
      </w:divsChild>
    </w:div>
    <w:div w:id="1487821732">
      <w:bodyDiv w:val="1"/>
      <w:marLeft w:val="0"/>
      <w:marRight w:val="0"/>
      <w:marTop w:val="0"/>
      <w:marBottom w:val="0"/>
      <w:divBdr>
        <w:top w:val="none" w:sz="0" w:space="0" w:color="auto"/>
        <w:left w:val="none" w:sz="0" w:space="0" w:color="auto"/>
        <w:bottom w:val="none" w:sz="0" w:space="0" w:color="auto"/>
        <w:right w:val="none" w:sz="0" w:space="0" w:color="auto"/>
      </w:divBdr>
    </w:div>
    <w:div w:id="1499734045">
      <w:bodyDiv w:val="1"/>
      <w:marLeft w:val="0"/>
      <w:marRight w:val="0"/>
      <w:marTop w:val="0"/>
      <w:marBottom w:val="0"/>
      <w:divBdr>
        <w:top w:val="none" w:sz="0" w:space="0" w:color="auto"/>
        <w:left w:val="none" w:sz="0" w:space="0" w:color="auto"/>
        <w:bottom w:val="none" w:sz="0" w:space="0" w:color="auto"/>
        <w:right w:val="none" w:sz="0" w:space="0" w:color="auto"/>
      </w:divBdr>
    </w:div>
    <w:div w:id="1501308342">
      <w:bodyDiv w:val="1"/>
      <w:marLeft w:val="0"/>
      <w:marRight w:val="0"/>
      <w:marTop w:val="0"/>
      <w:marBottom w:val="0"/>
      <w:divBdr>
        <w:top w:val="none" w:sz="0" w:space="0" w:color="auto"/>
        <w:left w:val="none" w:sz="0" w:space="0" w:color="auto"/>
        <w:bottom w:val="none" w:sz="0" w:space="0" w:color="auto"/>
        <w:right w:val="none" w:sz="0" w:space="0" w:color="auto"/>
      </w:divBdr>
    </w:div>
    <w:div w:id="1530069831">
      <w:bodyDiv w:val="1"/>
      <w:marLeft w:val="0"/>
      <w:marRight w:val="0"/>
      <w:marTop w:val="0"/>
      <w:marBottom w:val="0"/>
      <w:divBdr>
        <w:top w:val="none" w:sz="0" w:space="0" w:color="auto"/>
        <w:left w:val="none" w:sz="0" w:space="0" w:color="auto"/>
        <w:bottom w:val="none" w:sz="0" w:space="0" w:color="auto"/>
        <w:right w:val="none" w:sz="0" w:space="0" w:color="auto"/>
      </w:divBdr>
    </w:div>
    <w:div w:id="1557081664">
      <w:bodyDiv w:val="1"/>
      <w:marLeft w:val="0"/>
      <w:marRight w:val="0"/>
      <w:marTop w:val="0"/>
      <w:marBottom w:val="0"/>
      <w:divBdr>
        <w:top w:val="none" w:sz="0" w:space="0" w:color="auto"/>
        <w:left w:val="none" w:sz="0" w:space="0" w:color="auto"/>
        <w:bottom w:val="none" w:sz="0" w:space="0" w:color="auto"/>
        <w:right w:val="none" w:sz="0" w:space="0" w:color="auto"/>
      </w:divBdr>
    </w:div>
    <w:div w:id="1578131881">
      <w:bodyDiv w:val="1"/>
      <w:marLeft w:val="0"/>
      <w:marRight w:val="0"/>
      <w:marTop w:val="0"/>
      <w:marBottom w:val="0"/>
      <w:divBdr>
        <w:top w:val="none" w:sz="0" w:space="0" w:color="auto"/>
        <w:left w:val="none" w:sz="0" w:space="0" w:color="auto"/>
        <w:bottom w:val="none" w:sz="0" w:space="0" w:color="auto"/>
        <w:right w:val="none" w:sz="0" w:space="0" w:color="auto"/>
      </w:divBdr>
    </w:div>
    <w:div w:id="1583490601">
      <w:bodyDiv w:val="1"/>
      <w:marLeft w:val="0"/>
      <w:marRight w:val="0"/>
      <w:marTop w:val="0"/>
      <w:marBottom w:val="0"/>
      <w:divBdr>
        <w:top w:val="none" w:sz="0" w:space="0" w:color="auto"/>
        <w:left w:val="none" w:sz="0" w:space="0" w:color="auto"/>
        <w:bottom w:val="none" w:sz="0" w:space="0" w:color="auto"/>
        <w:right w:val="none" w:sz="0" w:space="0" w:color="auto"/>
      </w:divBdr>
    </w:div>
    <w:div w:id="1652051762">
      <w:bodyDiv w:val="1"/>
      <w:marLeft w:val="0"/>
      <w:marRight w:val="0"/>
      <w:marTop w:val="0"/>
      <w:marBottom w:val="0"/>
      <w:divBdr>
        <w:top w:val="none" w:sz="0" w:space="0" w:color="auto"/>
        <w:left w:val="none" w:sz="0" w:space="0" w:color="auto"/>
        <w:bottom w:val="none" w:sz="0" w:space="0" w:color="auto"/>
        <w:right w:val="none" w:sz="0" w:space="0" w:color="auto"/>
      </w:divBdr>
    </w:div>
    <w:div w:id="1664358425">
      <w:bodyDiv w:val="1"/>
      <w:marLeft w:val="0"/>
      <w:marRight w:val="0"/>
      <w:marTop w:val="0"/>
      <w:marBottom w:val="0"/>
      <w:divBdr>
        <w:top w:val="none" w:sz="0" w:space="0" w:color="auto"/>
        <w:left w:val="none" w:sz="0" w:space="0" w:color="auto"/>
        <w:bottom w:val="none" w:sz="0" w:space="0" w:color="auto"/>
        <w:right w:val="none" w:sz="0" w:space="0" w:color="auto"/>
      </w:divBdr>
    </w:div>
    <w:div w:id="1674529952">
      <w:bodyDiv w:val="1"/>
      <w:marLeft w:val="0"/>
      <w:marRight w:val="0"/>
      <w:marTop w:val="0"/>
      <w:marBottom w:val="0"/>
      <w:divBdr>
        <w:top w:val="none" w:sz="0" w:space="0" w:color="auto"/>
        <w:left w:val="none" w:sz="0" w:space="0" w:color="auto"/>
        <w:bottom w:val="none" w:sz="0" w:space="0" w:color="auto"/>
        <w:right w:val="none" w:sz="0" w:space="0" w:color="auto"/>
      </w:divBdr>
    </w:div>
    <w:div w:id="1694764402">
      <w:bodyDiv w:val="1"/>
      <w:marLeft w:val="0"/>
      <w:marRight w:val="0"/>
      <w:marTop w:val="0"/>
      <w:marBottom w:val="0"/>
      <w:divBdr>
        <w:top w:val="none" w:sz="0" w:space="0" w:color="auto"/>
        <w:left w:val="none" w:sz="0" w:space="0" w:color="auto"/>
        <w:bottom w:val="none" w:sz="0" w:space="0" w:color="auto"/>
        <w:right w:val="none" w:sz="0" w:space="0" w:color="auto"/>
      </w:divBdr>
    </w:div>
    <w:div w:id="1703357556">
      <w:bodyDiv w:val="1"/>
      <w:marLeft w:val="0"/>
      <w:marRight w:val="0"/>
      <w:marTop w:val="0"/>
      <w:marBottom w:val="0"/>
      <w:divBdr>
        <w:top w:val="none" w:sz="0" w:space="0" w:color="auto"/>
        <w:left w:val="none" w:sz="0" w:space="0" w:color="auto"/>
        <w:bottom w:val="none" w:sz="0" w:space="0" w:color="auto"/>
        <w:right w:val="none" w:sz="0" w:space="0" w:color="auto"/>
      </w:divBdr>
    </w:div>
    <w:div w:id="1808668829">
      <w:bodyDiv w:val="1"/>
      <w:marLeft w:val="0"/>
      <w:marRight w:val="0"/>
      <w:marTop w:val="0"/>
      <w:marBottom w:val="0"/>
      <w:divBdr>
        <w:top w:val="none" w:sz="0" w:space="0" w:color="auto"/>
        <w:left w:val="none" w:sz="0" w:space="0" w:color="auto"/>
        <w:bottom w:val="none" w:sz="0" w:space="0" w:color="auto"/>
        <w:right w:val="none" w:sz="0" w:space="0" w:color="auto"/>
      </w:divBdr>
    </w:div>
    <w:div w:id="1844317822">
      <w:bodyDiv w:val="1"/>
      <w:marLeft w:val="0"/>
      <w:marRight w:val="0"/>
      <w:marTop w:val="0"/>
      <w:marBottom w:val="0"/>
      <w:divBdr>
        <w:top w:val="none" w:sz="0" w:space="0" w:color="auto"/>
        <w:left w:val="none" w:sz="0" w:space="0" w:color="auto"/>
        <w:bottom w:val="none" w:sz="0" w:space="0" w:color="auto"/>
        <w:right w:val="none" w:sz="0" w:space="0" w:color="auto"/>
      </w:divBdr>
    </w:div>
    <w:div w:id="1896774494">
      <w:bodyDiv w:val="1"/>
      <w:marLeft w:val="0"/>
      <w:marRight w:val="0"/>
      <w:marTop w:val="0"/>
      <w:marBottom w:val="0"/>
      <w:divBdr>
        <w:top w:val="none" w:sz="0" w:space="0" w:color="auto"/>
        <w:left w:val="none" w:sz="0" w:space="0" w:color="auto"/>
        <w:bottom w:val="none" w:sz="0" w:space="0" w:color="auto"/>
        <w:right w:val="none" w:sz="0" w:space="0" w:color="auto"/>
      </w:divBdr>
    </w:div>
    <w:div w:id="1919513294">
      <w:bodyDiv w:val="1"/>
      <w:marLeft w:val="0"/>
      <w:marRight w:val="0"/>
      <w:marTop w:val="0"/>
      <w:marBottom w:val="0"/>
      <w:divBdr>
        <w:top w:val="none" w:sz="0" w:space="0" w:color="auto"/>
        <w:left w:val="none" w:sz="0" w:space="0" w:color="auto"/>
        <w:bottom w:val="none" w:sz="0" w:space="0" w:color="auto"/>
        <w:right w:val="none" w:sz="0" w:space="0" w:color="auto"/>
      </w:divBdr>
    </w:div>
    <w:div w:id="1934388891">
      <w:bodyDiv w:val="1"/>
      <w:marLeft w:val="0"/>
      <w:marRight w:val="0"/>
      <w:marTop w:val="0"/>
      <w:marBottom w:val="0"/>
      <w:divBdr>
        <w:top w:val="none" w:sz="0" w:space="0" w:color="auto"/>
        <w:left w:val="none" w:sz="0" w:space="0" w:color="auto"/>
        <w:bottom w:val="none" w:sz="0" w:space="0" w:color="auto"/>
        <w:right w:val="none" w:sz="0" w:space="0" w:color="auto"/>
      </w:divBdr>
    </w:div>
    <w:div w:id="2010788333">
      <w:bodyDiv w:val="1"/>
      <w:marLeft w:val="0"/>
      <w:marRight w:val="0"/>
      <w:marTop w:val="0"/>
      <w:marBottom w:val="0"/>
      <w:divBdr>
        <w:top w:val="none" w:sz="0" w:space="0" w:color="auto"/>
        <w:left w:val="none" w:sz="0" w:space="0" w:color="auto"/>
        <w:bottom w:val="none" w:sz="0" w:space="0" w:color="auto"/>
        <w:right w:val="none" w:sz="0" w:space="0" w:color="auto"/>
      </w:divBdr>
    </w:div>
    <w:div w:id="2044817826">
      <w:bodyDiv w:val="1"/>
      <w:marLeft w:val="0"/>
      <w:marRight w:val="0"/>
      <w:marTop w:val="0"/>
      <w:marBottom w:val="0"/>
      <w:divBdr>
        <w:top w:val="none" w:sz="0" w:space="0" w:color="auto"/>
        <w:left w:val="none" w:sz="0" w:space="0" w:color="auto"/>
        <w:bottom w:val="none" w:sz="0" w:space="0" w:color="auto"/>
        <w:right w:val="none" w:sz="0" w:space="0" w:color="auto"/>
      </w:divBdr>
    </w:div>
    <w:div w:id="2060124449">
      <w:bodyDiv w:val="1"/>
      <w:marLeft w:val="0"/>
      <w:marRight w:val="0"/>
      <w:marTop w:val="0"/>
      <w:marBottom w:val="0"/>
      <w:divBdr>
        <w:top w:val="none" w:sz="0" w:space="0" w:color="auto"/>
        <w:left w:val="none" w:sz="0" w:space="0" w:color="auto"/>
        <w:bottom w:val="none" w:sz="0" w:space="0" w:color="auto"/>
        <w:right w:val="none" w:sz="0" w:space="0" w:color="auto"/>
      </w:divBdr>
    </w:div>
    <w:div w:id="2068457591">
      <w:bodyDiv w:val="1"/>
      <w:marLeft w:val="0"/>
      <w:marRight w:val="0"/>
      <w:marTop w:val="0"/>
      <w:marBottom w:val="0"/>
      <w:divBdr>
        <w:top w:val="none" w:sz="0" w:space="0" w:color="auto"/>
        <w:left w:val="none" w:sz="0" w:space="0" w:color="auto"/>
        <w:bottom w:val="none" w:sz="0" w:space="0" w:color="auto"/>
        <w:right w:val="none" w:sz="0" w:space="0" w:color="auto"/>
      </w:divBdr>
    </w:div>
    <w:div w:id="2086877279">
      <w:bodyDiv w:val="1"/>
      <w:marLeft w:val="0"/>
      <w:marRight w:val="0"/>
      <w:marTop w:val="0"/>
      <w:marBottom w:val="0"/>
      <w:divBdr>
        <w:top w:val="none" w:sz="0" w:space="0" w:color="auto"/>
        <w:left w:val="none" w:sz="0" w:space="0" w:color="auto"/>
        <w:bottom w:val="none" w:sz="0" w:space="0" w:color="auto"/>
        <w:right w:val="none" w:sz="0" w:space="0" w:color="auto"/>
      </w:divBdr>
    </w:div>
    <w:div w:id="209331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eastbayis.com/" TargetMode="External"/><Relationship Id="rId7" Type="http://schemas.openxmlformats.org/officeDocument/2006/relationships/settings" Target="settings.xml"/><Relationship Id="rId12" Type="http://schemas.openxmlformats.org/officeDocument/2006/relationships/hyperlink" Target="https://www.marketwatch.com/story/wall-streets-stock-market-forecasts-for-2022-were-off-by-the-widest-margin-since-2008-will-next-year-be-any-different-11671583416"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it.com/sites/default/files/returns/prop.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w="12700">
                  <a:noFill/>
                </a:ln>
                <a:solidFill>
                  <a:srgbClr val="3B3B3B"/>
                </a:solidFill>
                <a:latin typeface="Avenir Next LT Pro Light" panose="020B0304020202020204" pitchFamily="34" charset="0"/>
                <a:ea typeface="+mn-ea"/>
                <a:cs typeface="+mn-cs"/>
              </a:defRPr>
            </a:pPr>
            <a:r>
              <a:rPr lang="en-US" sz="1600" b="1" i="0" baseline="0">
                <a:solidFill>
                  <a:srgbClr val="3B3B3B"/>
                </a:solidFill>
                <a:effectLst/>
                <a:latin typeface="Avenir Next LT Pro Light" panose="020B0304020202020204" pitchFamily="34" charset="0"/>
                <a:ea typeface="Source Sans Pro" panose="020B0503030403020204" pitchFamily="34" charset="0"/>
              </a:rPr>
              <a:t>PERIODIC</a:t>
            </a:r>
            <a:r>
              <a:rPr lang="en-US" sz="1600" b="0" i="0" baseline="0">
                <a:solidFill>
                  <a:srgbClr val="3B3B3B"/>
                </a:solidFill>
                <a:effectLst/>
                <a:latin typeface="Avenir Next LT Pro Light" panose="020B0304020202020204" pitchFamily="34" charset="0"/>
                <a:ea typeface="Source Sans Pro" panose="020B0503030403020204" pitchFamily="34" charset="0"/>
              </a:rPr>
              <a:t> </a:t>
            </a:r>
            <a:r>
              <a:rPr lang="en-US" sz="1600" b="1" i="0" baseline="0">
                <a:solidFill>
                  <a:srgbClr val="3B3B3B"/>
                </a:solidFill>
                <a:effectLst/>
                <a:latin typeface="Avenir Next LT Pro Light" panose="020B0304020202020204" pitchFamily="34" charset="0"/>
                <a:ea typeface="Source Sans Pro" panose="020B0503030403020204" pitchFamily="34" charset="0"/>
              </a:rPr>
              <a:t>RETURNS</a:t>
            </a:r>
            <a:endParaRPr lang="en-US" sz="1600">
              <a:solidFill>
                <a:srgbClr val="3B3B3B"/>
              </a:solidFill>
              <a:effectLst/>
              <a:latin typeface="Avenir Next LT Pro Light" panose="020B0304020202020204" pitchFamily="34" charset="0"/>
              <a:ea typeface="Source Sans Pro" panose="020B0503030403020204" pitchFamily="34" charset="0"/>
            </a:endParaRPr>
          </a:p>
          <a:p>
            <a:pPr>
              <a:defRPr>
                <a:solidFill>
                  <a:srgbClr val="3B3B3B"/>
                </a:solidFill>
                <a:latin typeface="Avenir Next LT Pro Light" panose="020B0304020202020204" pitchFamily="34" charset="0"/>
              </a:defRPr>
            </a:pPr>
            <a:r>
              <a:rPr lang="en-US" sz="1100" b="1" i="0" cap="all" baseline="0">
                <a:solidFill>
                  <a:srgbClr val="3B3B3B"/>
                </a:solidFill>
                <a:effectLst/>
                <a:latin typeface="Avenir Next LT Pro Light" panose="020B0304020202020204" pitchFamily="34" charset="0"/>
                <a:ea typeface="Source Sans Pro" panose="020B0503030403020204" pitchFamily="34" charset="0"/>
              </a:rPr>
              <a:t>___________________</a:t>
            </a:r>
            <a:endParaRPr lang="en-US" sz="1100">
              <a:solidFill>
                <a:srgbClr val="3B3B3B"/>
              </a:solidFill>
              <a:effectLst/>
              <a:latin typeface="Avenir Next LT Pro Light" panose="020B0304020202020204" pitchFamily="34" charset="0"/>
              <a:ea typeface="Source Sans Pro" panose="020B0503030403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ln w="12700">
                <a:noFill/>
              </a:ln>
              <a:solidFill>
                <a:srgbClr val="3B3B3B"/>
              </a:solidFill>
              <a:latin typeface="Avenir Next LT Pro Light" panose="020B0304020202020204" pitchFamily="34" charset="0"/>
              <a:ea typeface="+mn-ea"/>
              <a:cs typeface="+mn-cs"/>
            </a:defRPr>
          </a:pPr>
          <a:endParaRPr lang="en-US"/>
        </a:p>
      </c:txPr>
    </c:title>
    <c:autoTitleDeleted val="0"/>
    <c:plotArea>
      <c:layout/>
      <c:barChart>
        <c:barDir val="bar"/>
        <c:grouping val="clustered"/>
        <c:varyColors val="0"/>
        <c:ser>
          <c:idx val="0"/>
          <c:order val="0"/>
          <c:tx>
            <c:strRef>
              <c:f>Sheet1!$C$1</c:f>
              <c:strCache>
                <c:ptCount val="1"/>
                <c:pt idx="0">
                  <c:v>Last 12 months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ln w="12700">
                      <a:noFill/>
                    </a:ln>
                    <a:solidFill>
                      <a:srgbClr val="13284B"/>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Sheet1!$B$2:$B$24</c:f>
              <c:strCache>
                <c:ptCount val="23"/>
                <c:pt idx="0">
                  <c:v>1-5 Yr Infl Link Treas</c:v>
                </c:pt>
                <c:pt idx="1">
                  <c:v>Global Agg ex-US Hdg USD</c:v>
                </c:pt>
                <c:pt idx="2">
                  <c:v>US Agg</c:v>
                </c:pt>
                <c:pt idx="3">
                  <c:v>5-10 Yr Muni</c:v>
                </c:pt>
                <c:pt idx="4">
                  <c:v>5-10 Yr US Corp</c:v>
                </c:pt>
                <c:pt idx="5">
                  <c:v>5-10 Yr US Treas</c:v>
                </c:pt>
                <c:pt idx="6">
                  <c:v>1-5 Yr Muni</c:v>
                </c:pt>
                <c:pt idx="7">
                  <c:v>1-5 Yr US Corp</c:v>
                </c:pt>
                <c:pt idx="8">
                  <c:v>1-5 Yr US Treas</c:v>
                </c:pt>
                <c:pt idx="9">
                  <c:v>Non-US REIT</c:v>
                </c:pt>
                <c:pt idx="10">
                  <c:v>US REIT</c:v>
                </c:pt>
                <c:pt idx="11">
                  <c:v>Global REIT</c:v>
                </c:pt>
                <c:pt idx="12">
                  <c:v>Frontier Markets</c:v>
                </c:pt>
                <c:pt idx="13">
                  <c:v>Emerging Markets</c:v>
                </c:pt>
                <c:pt idx="14">
                  <c:v>Intl Eq Small Cap</c:v>
                </c:pt>
                <c:pt idx="15">
                  <c:v>Intl Eq Large Cap</c:v>
                </c:pt>
                <c:pt idx="16">
                  <c:v>US Small Cap Value</c:v>
                </c:pt>
                <c:pt idx="17">
                  <c:v>US Small Cap Growth</c:v>
                </c:pt>
                <c:pt idx="18">
                  <c:v>US Small Cap</c:v>
                </c:pt>
                <c:pt idx="19">
                  <c:v>US Large Cap Value</c:v>
                </c:pt>
                <c:pt idx="20">
                  <c:v>US Large Cap Growth</c:v>
                </c:pt>
                <c:pt idx="21">
                  <c:v>US Large Cap</c:v>
                </c:pt>
                <c:pt idx="22">
                  <c:v>US All Cap</c:v>
                </c:pt>
              </c:strCache>
            </c:strRef>
          </c:cat>
          <c:val>
            <c:numRef>
              <c:f>Sheet1!$C$2:$C$24</c:f>
              <c:numCache>
                <c:formatCode>#,##0.00</c:formatCode>
                <c:ptCount val="23"/>
                <c:pt idx="0">
                  <c:v>4.3237199999999998</c:v>
                </c:pt>
                <c:pt idx="1">
                  <c:v>8.3157700000000006</c:v>
                </c:pt>
                <c:pt idx="2">
                  <c:v>5.5288399999999998</c:v>
                </c:pt>
                <c:pt idx="3">
                  <c:v>5.0172800000000004</c:v>
                </c:pt>
                <c:pt idx="4">
                  <c:v>8.8351299999999995</c:v>
                </c:pt>
                <c:pt idx="5">
                  <c:v>3.9264399999999999</c:v>
                </c:pt>
                <c:pt idx="6">
                  <c:v>3.5814699999999999</c:v>
                </c:pt>
                <c:pt idx="7">
                  <c:v>6.3073499999999996</c:v>
                </c:pt>
                <c:pt idx="8">
                  <c:v>4.3033200000000003</c:v>
                </c:pt>
                <c:pt idx="9">
                  <c:v>5.0980600000000003</c:v>
                </c:pt>
                <c:pt idx="10">
                  <c:v>13.95978</c:v>
                </c:pt>
                <c:pt idx="11">
                  <c:v>11.69699</c:v>
                </c:pt>
                <c:pt idx="12">
                  <c:v>11.63092</c:v>
                </c:pt>
                <c:pt idx="13">
                  <c:v>9.8280700000000003</c:v>
                </c:pt>
                <c:pt idx="14">
                  <c:v>12.62471</c:v>
                </c:pt>
                <c:pt idx="15">
                  <c:v>17.94003</c:v>
                </c:pt>
                <c:pt idx="16">
                  <c:v>14.646509999999999</c:v>
                </c:pt>
                <c:pt idx="17">
                  <c:v>18.658449999999998</c:v>
                </c:pt>
                <c:pt idx="18">
                  <c:v>16.928909999999998</c:v>
                </c:pt>
                <c:pt idx="19">
                  <c:v>11.4627</c:v>
                </c:pt>
                <c:pt idx="20">
                  <c:v>42.678130000000003</c:v>
                </c:pt>
                <c:pt idx="21">
                  <c:v>26.529250000000001</c:v>
                </c:pt>
                <c:pt idx="22">
                  <c:v>25.95683</c:v>
                </c:pt>
              </c:numCache>
            </c:numRef>
          </c:val>
          <c:extLst>
            <c:ext xmlns:c16="http://schemas.microsoft.com/office/drawing/2014/chart" uri="{C3380CC4-5D6E-409C-BE32-E72D297353CC}">
              <c16:uniqueId val="{00000000-E6B5-4007-8165-9A0DB8321199}"/>
            </c:ext>
          </c:extLst>
        </c:ser>
        <c:ser>
          <c:idx val="1"/>
          <c:order val="1"/>
          <c:tx>
            <c:strRef>
              <c:f>Sheet1!$D$1</c:f>
              <c:strCache>
                <c:ptCount val="1"/>
                <c:pt idx="0">
                  <c:v>Q4 2023</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ln w="12700">
                      <a:noFill/>
                    </a:ln>
                    <a:solidFill>
                      <a:srgbClr val="13284B"/>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Sheet1!$B$2:$B$24</c:f>
              <c:strCache>
                <c:ptCount val="23"/>
                <c:pt idx="0">
                  <c:v>1-5 Yr Infl Link Treas</c:v>
                </c:pt>
                <c:pt idx="1">
                  <c:v>Global Agg ex-US Hdg USD</c:v>
                </c:pt>
                <c:pt idx="2">
                  <c:v>US Agg</c:v>
                </c:pt>
                <c:pt idx="3">
                  <c:v>5-10 Yr Muni</c:v>
                </c:pt>
                <c:pt idx="4">
                  <c:v>5-10 Yr US Corp</c:v>
                </c:pt>
                <c:pt idx="5">
                  <c:v>5-10 Yr US Treas</c:v>
                </c:pt>
                <c:pt idx="6">
                  <c:v>1-5 Yr Muni</c:v>
                </c:pt>
                <c:pt idx="7">
                  <c:v>1-5 Yr US Corp</c:v>
                </c:pt>
                <c:pt idx="8">
                  <c:v>1-5 Yr US Treas</c:v>
                </c:pt>
                <c:pt idx="9">
                  <c:v>Non-US REIT</c:v>
                </c:pt>
                <c:pt idx="10">
                  <c:v>US REIT</c:v>
                </c:pt>
                <c:pt idx="11">
                  <c:v>Global REIT</c:v>
                </c:pt>
                <c:pt idx="12">
                  <c:v>Frontier Markets</c:v>
                </c:pt>
                <c:pt idx="13">
                  <c:v>Emerging Markets</c:v>
                </c:pt>
                <c:pt idx="14">
                  <c:v>Intl Eq Small Cap</c:v>
                </c:pt>
                <c:pt idx="15">
                  <c:v>Intl Eq Large Cap</c:v>
                </c:pt>
                <c:pt idx="16">
                  <c:v>US Small Cap Value</c:v>
                </c:pt>
                <c:pt idx="17">
                  <c:v>US Small Cap Growth</c:v>
                </c:pt>
                <c:pt idx="18">
                  <c:v>US Small Cap</c:v>
                </c:pt>
                <c:pt idx="19">
                  <c:v>US Large Cap Value</c:v>
                </c:pt>
                <c:pt idx="20">
                  <c:v>US Large Cap Growth</c:v>
                </c:pt>
                <c:pt idx="21">
                  <c:v>US Large Cap</c:v>
                </c:pt>
                <c:pt idx="22">
                  <c:v>US All Cap</c:v>
                </c:pt>
              </c:strCache>
            </c:strRef>
          </c:cat>
          <c:val>
            <c:numRef>
              <c:f>Sheet1!$D$2:$D$24</c:f>
              <c:numCache>
                <c:formatCode>#,##0.00</c:formatCode>
                <c:ptCount val="23"/>
                <c:pt idx="0">
                  <c:v>2.7387299999999999</c:v>
                </c:pt>
                <c:pt idx="1">
                  <c:v>5.3611700000000004</c:v>
                </c:pt>
                <c:pt idx="2">
                  <c:v>6.8171499999999998</c:v>
                </c:pt>
                <c:pt idx="3">
                  <c:v>6.54826</c:v>
                </c:pt>
                <c:pt idx="4">
                  <c:v>8.0577199999999998</c:v>
                </c:pt>
                <c:pt idx="5">
                  <c:v>5.7252200000000002</c:v>
                </c:pt>
                <c:pt idx="6">
                  <c:v>3.5392999999999999</c:v>
                </c:pt>
                <c:pt idx="7">
                  <c:v>3.95939</c:v>
                </c:pt>
                <c:pt idx="8">
                  <c:v>3.0986699999999998</c:v>
                </c:pt>
                <c:pt idx="9">
                  <c:v>14.736039999999999</c:v>
                </c:pt>
                <c:pt idx="10">
                  <c:v>16.34657</c:v>
                </c:pt>
                <c:pt idx="11">
                  <c:v>15.96471</c:v>
                </c:pt>
                <c:pt idx="12">
                  <c:v>3.9671500000000002</c:v>
                </c:pt>
                <c:pt idx="13">
                  <c:v>7.8647600000000004</c:v>
                </c:pt>
                <c:pt idx="14">
                  <c:v>10.601559999999999</c:v>
                </c:pt>
                <c:pt idx="15">
                  <c:v>10.50773</c:v>
                </c:pt>
                <c:pt idx="16">
                  <c:v>15.2567</c:v>
                </c:pt>
                <c:pt idx="17">
                  <c:v>12.747170000000001</c:v>
                </c:pt>
                <c:pt idx="18">
                  <c:v>14.029339999999999</c:v>
                </c:pt>
                <c:pt idx="19">
                  <c:v>9.4976000000000003</c:v>
                </c:pt>
                <c:pt idx="20">
                  <c:v>14.16314</c:v>
                </c:pt>
                <c:pt idx="21">
                  <c:v>11.96406</c:v>
                </c:pt>
                <c:pt idx="22">
                  <c:v>12.07185</c:v>
                </c:pt>
              </c:numCache>
            </c:numRef>
          </c:val>
          <c:extLst>
            <c:ext xmlns:c16="http://schemas.microsoft.com/office/drawing/2014/chart" uri="{C3380CC4-5D6E-409C-BE32-E72D297353CC}">
              <c16:uniqueId val="{00000001-E6B5-4007-8165-9A0DB8321199}"/>
            </c:ext>
          </c:extLst>
        </c:ser>
        <c:dLbls>
          <c:dLblPos val="outEnd"/>
          <c:showLegendKey val="0"/>
          <c:showVal val="1"/>
          <c:showCatName val="0"/>
          <c:showSerName val="0"/>
          <c:showPercent val="0"/>
          <c:showBubbleSize val="0"/>
        </c:dLbls>
        <c:gapWidth val="182"/>
        <c:axId val="887475568"/>
        <c:axId val="887475896"/>
      </c:barChart>
      <c:catAx>
        <c:axId val="88747556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w="12700">
                  <a:noFill/>
                </a:ln>
                <a:solidFill>
                  <a:srgbClr val="13284B"/>
                </a:solidFill>
                <a:latin typeface="Avenir Next LT Pro Light" panose="020B0304020202020204" pitchFamily="34" charset="0"/>
                <a:ea typeface="+mn-ea"/>
                <a:cs typeface="+mn-cs"/>
              </a:defRPr>
            </a:pPr>
            <a:endParaRPr lang="en-US"/>
          </a:p>
        </c:txPr>
        <c:crossAx val="887475896"/>
        <c:crosses val="autoZero"/>
        <c:auto val="1"/>
        <c:lblAlgn val="ctr"/>
        <c:lblOffset val="100"/>
        <c:noMultiLvlLbl val="0"/>
      </c:catAx>
      <c:valAx>
        <c:axId val="887475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ln w="12700">
                      <a:noFill/>
                    </a:ln>
                    <a:solidFill>
                      <a:srgbClr val="13284B"/>
                    </a:solidFill>
                    <a:latin typeface="+mn-lt"/>
                    <a:ea typeface="+mn-ea"/>
                    <a:cs typeface="+mn-cs"/>
                  </a:defRPr>
                </a:pPr>
                <a:r>
                  <a:rPr lang="en-US"/>
                  <a:t>Percent</a:t>
                </a:r>
              </a:p>
            </c:rich>
          </c:tx>
          <c:overlay val="0"/>
          <c:spPr>
            <a:noFill/>
            <a:ln>
              <a:noFill/>
            </a:ln>
            <a:effectLst/>
          </c:spPr>
          <c:txPr>
            <a:bodyPr rot="0" spcFirstLastPara="1" vertOverflow="ellipsis" vert="horz" wrap="square" anchor="ctr" anchorCtr="1"/>
            <a:lstStyle/>
            <a:p>
              <a:pPr>
                <a:defRPr sz="1000" b="0" i="0" u="none" strike="noStrike" kern="1200" baseline="0">
                  <a:ln w="12700">
                    <a:noFill/>
                  </a:ln>
                  <a:solidFill>
                    <a:srgbClr val="13284B"/>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12700">
                  <a:noFill/>
                </a:ln>
                <a:solidFill>
                  <a:srgbClr val="13284B"/>
                </a:solidFill>
                <a:latin typeface="+mn-lt"/>
                <a:ea typeface="+mn-ea"/>
                <a:cs typeface="+mn-cs"/>
              </a:defRPr>
            </a:pPr>
            <a:endParaRPr lang="en-US"/>
          </a:p>
        </c:txPr>
        <c:crossAx val="88747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w="12700">
                <a:noFill/>
              </a:ln>
              <a:solidFill>
                <a:srgbClr val="13284B"/>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ln w="12700">
            <a:noFill/>
          </a:ln>
          <a:solidFill>
            <a:srgbClr val="13284B"/>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EA0FE50626475C8097DC34E4B13747"/>
        <w:category>
          <w:name w:val="General"/>
          <w:gallery w:val="placeholder"/>
        </w:category>
        <w:types>
          <w:type w:val="bbPlcHdr"/>
        </w:types>
        <w:behaviors>
          <w:behavior w:val="content"/>
        </w:behaviors>
        <w:guid w:val="{0CD00165-B2BD-4ACB-B68D-F08E4238A4D4}"/>
      </w:docPartPr>
      <w:docPartBody>
        <w:p w:rsidR="00000000" w:rsidRDefault="005A1140" w:rsidP="005A1140">
          <w:pPr>
            <w:pStyle w:val="3CEA0FE50626475C8097DC34E4B1374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riam Fixed">
    <w:charset w:val="B1"/>
    <w:family w:val="modern"/>
    <w:pitch w:val="fixed"/>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Akzidenz Grotesk BE Cn">
    <w:altName w:val="Calibri"/>
    <w:panose1 w:val="00000000000000000000"/>
    <w:charset w:val="00"/>
    <w:family w:val="swiss"/>
    <w:notTrueType/>
    <w:pitch w:val="variable"/>
    <w:sig w:usb0="800000AF" w:usb1="4000004A" w:usb2="00000000" w:usb3="00000000" w:csb0="00000001" w:csb1="00000000"/>
  </w:font>
  <w:font w:name="Gautami">
    <w:panose1 w:val="02000500000000000000"/>
    <w:charset w:val="00"/>
    <w:family w:val="swiss"/>
    <w:pitch w:val="variable"/>
    <w:sig w:usb0="002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140"/>
    <w:rsid w:val="005A1140"/>
    <w:rsid w:val="00B25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009F9DAE274661821B8BA527C56544">
    <w:name w:val="14009F9DAE274661821B8BA527C56544"/>
    <w:rsid w:val="005A1140"/>
  </w:style>
  <w:style w:type="paragraph" w:customStyle="1" w:styleId="08DBD8EC09344838892787EBE10E1600">
    <w:name w:val="08DBD8EC09344838892787EBE10E1600"/>
    <w:rsid w:val="005A1140"/>
  </w:style>
  <w:style w:type="paragraph" w:customStyle="1" w:styleId="3CEA0FE50626475C8097DC34E4B13747">
    <w:name w:val="3CEA0FE50626475C8097DC34E4B13747"/>
    <w:rsid w:val="005A11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13284B"/>
      </a:accent1>
      <a:accent2>
        <a:srgbClr val="F99F1B"/>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16E60ED0A2A7449C06D3B120B75907" ma:contentTypeVersion="17" ma:contentTypeDescription="Create a new document." ma:contentTypeScope="" ma:versionID="e1747f6d356399c02af1ec2d936e30d8">
  <xsd:schema xmlns:xsd="http://www.w3.org/2001/XMLSchema" xmlns:xs="http://www.w3.org/2001/XMLSchema" xmlns:p="http://schemas.microsoft.com/office/2006/metadata/properties" xmlns:ns2="d158acfa-a83d-4525-ade5-45ec3b53c5ad" xmlns:ns3="e58f827f-5e6c-4f5d-a882-d80a78476402" targetNamespace="http://schemas.microsoft.com/office/2006/metadata/properties" ma:root="true" ma:fieldsID="29ac19dd07f0a2fcdbda45d46031857d" ns2:_="" ns3:_="">
    <xsd:import namespace="d158acfa-a83d-4525-ade5-45ec3b53c5ad"/>
    <xsd:import namespace="e58f827f-5e6c-4f5d-a882-d80a784764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58acfa-a83d-4525-ade5-45ec3b53c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e90ad9-3c86-4e97-a0ba-a02f647a8c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8f827f-5e6c-4f5d-a882-d80a7847640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281b00-60d1-413c-bc46-a3ed17e5a906}" ma:internalName="TaxCatchAll" ma:showField="CatchAllData" ma:web="e58f827f-5e6c-4f5d-a882-d80a784764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58f827f-5e6c-4f5d-a882-d80a78476402" xsi:nil="true"/>
    <lcf76f155ced4ddcb4097134ff3c332f xmlns="d158acfa-a83d-4525-ade5-45ec3b53c5a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8A96235-4447-4445-BBEA-C09E3DA564F3}">
  <ds:schemaRefs>
    <ds:schemaRef ds:uri="http://schemas.openxmlformats.org/officeDocument/2006/bibliography"/>
  </ds:schemaRefs>
</ds:datastoreItem>
</file>

<file path=customXml/itemProps2.xml><?xml version="1.0" encoding="utf-8"?>
<ds:datastoreItem xmlns:ds="http://schemas.openxmlformats.org/officeDocument/2006/customXml" ds:itemID="{11049EAE-D6F6-4210-95D7-A09CF6DFC92A}">
  <ds:schemaRefs>
    <ds:schemaRef ds:uri="http://schemas.microsoft.com/sharepoint/v3/contenttype/forms"/>
  </ds:schemaRefs>
</ds:datastoreItem>
</file>

<file path=customXml/itemProps3.xml><?xml version="1.0" encoding="utf-8"?>
<ds:datastoreItem xmlns:ds="http://schemas.openxmlformats.org/officeDocument/2006/customXml" ds:itemID="{E0BAF470-ABA3-41DE-8CD7-49BB6C3D0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58acfa-a83d-4525-ade5-45ec3b53c5ad"/>
    <ds:schemaRef ds:uri="e58f827f-5e6c-4f5d-a882-d80a78476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58EA2D-F248-479D-B0A4-791DF359009A}">
  <ds:schemaRefs>
    <ds:schemaRef ds:uri="http://schemas.microsoft.com/office/2006/metadata/properties"/>
    <ds:schemaRef ds:uri="http://schemas.microsoft.com/office/infopath/2007/PartnerControls"/>
    <ds:schemaRef ds:uri="e58f827f-5e6c-4f5d-a882-d80a78476402"/>
    <ds:schemaRef ds:uri="d158acfa-a83d-4525-ade5-45ec3b53c5a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1800</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12042</CharactersWithSpaces>
  <SharedDoc>false</SharedDoc>
  <HLinks>
    <vt:vector size="18" baseType="variant">
      <vt:variant>
        <vt:i4>3866672</vt:i4>
      </vt:variant>
      <vt:variant>
        <vt:i4>6</vt:i4>
      </vt:variant>
      <vt:variant>
        <vt:i4>0</vt:i4>
      </vt:variant>
      <vt:variant>
        <vt:i4>5</vt:i4>
      </vt:variant>
      <vt:variant>
        <vt:lpwstr>https://www.eastbayis.com/</vt:lpwstr>
      </vt:variant>
      <vt:variant>
        <vt:lpwstr/>
      </vt:variant>
      <vt:variant>
        <vt:i4>983042</vt:i4>
      </vt:variant>
      <vt:variant>
        <vt:i4>3</vt:i4>
      </vt:variant>
      <vt:variant>
        <vt:i4>0</vt:i4>
      </vt:variant>
      <vt:variant>
        <vt:i4>5</vt:i4>
      </vt:variant>
      <vt:variant>
        <vt:lpwstr>https://www.reit.com/data-research/reit-indexes/historical-reit-returns/performance-property-sector-subsector</vt:lpwstr>
      </vt:variant>
      <vt:variant>
        <vt:lpwstr/>
      </vt:variant>
      <vt:variant>
        <vt:i4>1048599</vt:i4>
      </vt:variant>
      <vt:variant>
        <vt:i4>0</vt:i4>
      </vt:variant>
      <vt:variant>
        <vt:i4>0</vt:i4>
      </vt:variant>
      <vt:variant>
        <vt:i4>5</vt:i4>
      </vt:variant>
      <vt:variant>
        <vt:lpwstr>https://apolloacademy.com/sp493-is-basically-flat-this-year/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dc:creator>
  <cp:keywords/>
  <dc:description/>
  <cp:lastModifiedBy>Kim Spencer</cp:lastModifiedBy>
  <cp:revision>2</cp:revision>
  <cp:lastPrinted>2020-01-07T01:31:00Z</cp:lastPrinted>
  <dcterms:created xsi:type="dcterms:W3CDTF">2024-01-16T20:11:00Z</dcterms:created>
  <dcterms:modified xsi:type="dcterms:W3CDTF">2024-01-16T20:11:00Z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0x010100AE16E60ED0A2A7449C06D3B120B75907</vt:lpwstr>
  </property>
  <property fmtid="{D5CDD505-2E9C-101B-9397-08002B2CF9AE}" pid="3" name="MSIP_Label_f798ad3d-ca62-431b-a271-272384029ef0_Enabled">
    <vt:lpwstr>True</vt:lpwstr>
  </property>
  <property fmtid="{D5CDD505-2E9C-101B-9397-08002B2CF9AE}" pid="4" name="MSIP_Label_f798ad3d-ca62-431b-a271-272384029ef0_SiteId">
    <vt:lpwstr>43861674-48bf-491e-b8a9-1f4f667f8dbf</vt:lpwstr>
  </property>
  <property fmtid="{D5CDD505-2E9C-101B-9397-08002B2CF9AE}" pid="5" name="MSIP_Label_f798ad3d-ca62-431b-a271-272384029ef0_Owner">
    <vt:lpwstr>lhaydon@thompsoncff.org</vt:lpwstr>
  </property>
  <property fmtid="{D5CDD505-2E9C-101B-9397-08002B2CF9AE}" pid="6" name="MSIP_Label_f798ad3d-ca62-431b-a271-272384029ef0_SetDate">
    <vt:lpwstr>2019-09-06T17:14:03.5638843Z</vt:lpwstr>
  </property>
  <property fmtid="{D5CDD505-2E9C-101B-9397-08002B2CF9AE}" pid="7" name="MSIP_Label_f798ad3d-ca62-431b-a271-272384029ef0_Name">
    <vt:lpwstr>General</vt:lpwstr>
  </property>
  <property fmtid="{D5CDD505-2E9C-101B-9397-08002B2CF9AE}" pid="8" name="MSIP_Label_f798ad3d-ca62-431b-a271-272384029ef0_Application">
    <vt:lpwstr>Microsoft Azure Information Protection</vt:lpwstr>
  </property>
  <property fmtid="{D5CDD505-2E9C-101B-9397-08002B2CF9AE}" pid="9" name="MSIP_Label_f798ad3d-ca62-431b-a271-272384029ef0_Extended_MSFT_Method">
    <vt:lpwstr>Automatic</vt:lpwstr>
  </property>
  <property fmtid="{D5CDD505-2E9C-101B-9397-08002B2CF9AE}" pid="10" name="Sensitivity">
    <vt:lpwstr>General</vt:lpwstr>
  </property>
  <property fmtid="{D5CDD505-2E9C-101B-9397-08002B2CF9AE}" pid="11" name="MediaServiceImageTags">
    <vt:lpwstr/>
  </property>
</Properties>
</file>